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pPr w:horzAnchor="margin" w:tblpXSpec="center" w:vertAnchor="text" w:tblpY="-176" w:leftFromText="141" w:topFromText="0" w:rightFromText="141" w:bottomFromText="0"/>
        <w:tblW w:w="9381" w:type="dxa"/>
        <w:tblBorders/>
        <w:tblLayout w:type="fixed"/>
        <w:tblLook w:val="01E0" w:firstRow="1" w:lastRow="1" w:firstColumn="1" w:lastColumn="1" w:noHBand="0" w:noVBand="0"/>
      </w:tblPr>
      <w:tblGrid>
        <w:gridCol w:w="1809"/>
        <w:gridCol w:w="7572"/>
      </w:tblGrid>
      <w:tr>
        <w:trPr>
          <w:trHeight w:val="992"/>
        </w:trPr>
        <w:tc>
          <w:tcPr>
            <w:tcBorders/>
            <w:tcW w:w="18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Calibri" w:hAnsi="Calibri" w:eastAsia="Times New Roman" w:cs="Times New Roman"/>
                <w:color w:val="5a5a5a"/>
                <w:sz w:val="12"/>
                <w:szCs w:val="12"/>
                <w:lang w:bidi="en-US"/>
              </w:rPr>
            </w:pPr>
            <w:r>
              <w:rPr>
                <w:rFonts w:ascii="Calibri" w:hAnsi="Calibri" w:eastAsia="Times New Roman" w:cs="Times New Roman"/>
                <w:color w:val="5a5a5a"/>
                <w:sz w:val="20"/>
                <w:szCs w:val="20"/>
                <w:lang w:eastAsia="pl-PL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71550" cy="609600"/>
                      <wp:effectExtent l="19050" t="0" r="0" b="0"/>
                      <wp:docPr id="1" name="Obraz 8" descr="C:\Users\Odn-Dyrektor\Desktop\M.C\LOGO\Logo odn i cku.t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8" descr="C:\Users\Odn-Dyrektor\Desktop\M.C\LOGO\Logo odn i cku.tif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71550" cy="6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0" o:spid="_x0000_s0" type="#_x0000_t75" style="width:76.50pt;height:48.00pt;mso-wrap-distance-left:0.00pt;mso-wrap-distance-top:0.00pt;mso-wrap-distance-right:0.00pt;mso-wrap-distance-bottom:0.00pt;z-index:1;" stroked="f" strokeweight="0.75pt">
                      <v:imagedata r:id="rId9" o:title=""/>
                      <o:lock v:ext="edit" rotation="t"/>
                    </v:shape>
                  </w:pict>
                </mc:Fallback>
              </mc:AlternateContent>
            </w:r>
            <w:r>
              <w:rPr>
                <w:rFonts w:ascii="Calibri" w:hAnsi="Calibri" w:eastAsia="Times New Roman" w:cs="Times New Roman"/>
                <w:color w:val="5a5a5a"/>
                <w:sz w:val="12"/>
                <w:szCs w:val="12"/>
                <w:lang w:bidi="en-US"/>
              </w:rPr>
            </w:r>
            <w:r>
              <w:rPr>
                <w:rFonts w:ascii="Calibri" w:hAnsi="Calibri" w:eastAsia="Times New Roman" w:cs="Times New Roman"/>
                <w:color w:val="5a5a5a"/>
                <w:sz w:val="12"/>
                <w:szCs w:val="12"/>
                <w:lang w:bidi="en-US"/>
              </w:rPr>
            </w:r>
          </w:p>
        </w:tc>
        <w:tc>
          <w:tcPr>
            <w:tcBorders/>
            <w:tcW w:w="7572" w:type="dxa"/>
            <w:textDirection w:val="lrTb"/>
            <w:noWrap w:val="false"/>
          </w:tcPr>
          <w:p>
            <w:pPr>
              <w:pBdr>
                <w:bottom w:val="single" w:color="938953" w:sz="8" w:space="1"/>
              </w:pBdr>
              <w:spacing w:after="0"/>
              <w:ind w:left="-288"/>
              <w:contextualSpacing w:val="true"/>
              <w:jc w:val="center"/>
              <w:outlineLvl w:val="6"/>
              <w:rPr>
                <w:rFonts w:ascii="Times New Roman" w:hAnsi="Times New Roman" w:eastAsia="Times New Roman" w:cs="Times New Roman"/>
                <w:b/>
                <w:bCs/>
                <w:smallCaps/>
                <w:spacing w:val="20"/>
                <w:sz w:val="16"/>
                <w:szCs w:val="16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mallCaps/>
                <w:spacing w:val="20"/>
                <w:sz w:val="16"/>
                <w:szCs w:val="16"/>
                <w:lang w:bidi="en-US"/>
              </w:rPr>
              <w:t xml:space="preserve">CENTRUM KSZTAŁCENIA USTAWICZNEGO</w:t>
            </w:r>
            <w:r>
              <w:rPr>
                <w:rFonts w:ascii="Times New Roman" w:hAnsi="Times New Roman" w:eastAsia="Times New Roman" w:cs="Times New Roman"/>
                <w:b/>
                <w:bCs/>
                <w:smallCaps/>
                <w:spacing w:val="20"/>
                <w:sz w:val="16"/>
                <w:szCs w:val="16"/>
                <w:lang w:bidi="en-US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mallCaps/>
                <w:spacing w:val="20"/>
                <w:sz w:val="16"/>
                <w:szCs w:val="16"/>
                <w:lang w:bidi="en-US"/>
              </w:rPr>
            </w:r>
          </w:p>
          <w:p>
            <w:pPr>
              <w:pBdr/>
              <w:spacing w:after="0"/>
              <w:ind w:left="-288"/>
              <w:contextualSpacing w:val="true"/>
              <w:jc w:val="right"/>
              <w:outlineLvl w:val="7"/>
              <w:rPr>
                <w:rFonts w:ascii="Times New Roman" w:hAnsi="Times New Roman" w:eastAsia="Times New Roman" w:cs="Times New Roman"/>
                <w:b/>
                <w:smallCaps/>
                <w:spacing w:val="20"/>
                <w:sz w:val="17"/>
                <w:szCs w:val="17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b/>
                <w:smallCaps/>
                <w:spacing w:val="20"/>
                <w:sz w:val="18"/>
                <w:szCs w:val="18"/>
                <w:lang w:bidi="en-US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b/>
                <w:smallCaps/>
                <w:spacing w:val="20"/>
                <w:sz w:val="17"/>
                <w:szCs w:val="17"/>
                <w:lang w:bidi="en-US"/>
              </w:rPr>
              <w:t xml:space="preserve">OŚRODEK DOSKONALENIA I DORADZTWA ZAWODOWEGO NAUCZYCIELI</w:t>
            </w:r>
            <w:r>
              <w:rPr>
                <w:rFonts w:ascii="Times New Roman" w:hAnsi="Times New Roman" w:eastAsia="Times New Roman" w:cs="Times New Roman"/>
                <w:b/>
                <w:smallCaps/>
                <w:spacing w:val="20"/>
                <w:sz w:val="17"/>
                <w:szCs w:val="17"/>
                <w:lang w:bidi="en-US"/>
              </w:rPr>
            </w:r>
            <w:r>
              <w:rPr>
                <w:rFonts w:ascii="Times New Roman" w:hAnsi="Times New Roman" w:eastAsia="Times New Roman" w:cs="Times New Roman"/>
                <w:b/>
                <w:smallCaps/>
                <w:spacing w:val="20"/>
                <w:sz w:val="17"/>
                <w:szCs w:val="17"/>
                <w:lang w:bidi="en-US"/>
              </w:rPr>
            </w:r>
          </w:p>
          <w:p>
            <w:pPr>
              <w:pBdr/>
              <w:spacing w:after="0" w:line="240" w:lineRule="auto"/>
              <w:ind w:left="2160"/>
              <w:rPr>
                <w:rFonts w:ascii="Calibri" w:hAnsi="Calibri" w:eastAsia="Times New Roman" w:cs="Times New Roman"/>
                <w:b/>
                <w:sz w:val="16"/>
                <w:szCs w:val="16"/>
                <w:lang w:bidi="en-US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bidi="en-US"/>
              </w:rPr>
              <w:t xml:space="preserve">86-300 Grudziądz, ul. Legionów 2  </w:t>
            </w: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bidi="en-US"/>
              </w:rPr>
            </w: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bidi="en-US"/>
              </w:rPr>
            </w:r>
          </w:p>
          <w:p>
            <w:pPr>
              <w:pBdr/>
              <w:spacing w:after="0"/>
              <w:ind w:left="-28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bidi="en-US"/>
              </w:rPr>
              <w:t xml:space="preserve">tel. 56 45 136 31, 724 450 342, 603 260 303 fax.  56 45 136 32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bidi="en-US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bidi="en-US"/>
              </w:rPr>
            </w:r>
          </w:p>
          <w:p>
            <w:pPr>
              <w:pBdr/>
              <w:spacing w:after="0"/>
              <w:ind w:left="-288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bidi="en-US"/>
              </w:rPr>
              <w:t xml:space="preserve">e-mail: sekretariat@odn-grudziadz.edu.pl      www.odn-grudziadz.edu.pl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bidi="en-US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bidi="en-US"/>
              </w:rPr>
            </w:r>
          </w:p>
        </w:tc>
      </w:tr>
      <w:tr>
        <w:trPr>
          <w:trHeight w:val="421"/>
        </w:trPr>
        <w:tc>
          <w:tcPr>
            <w:tcBorders/>
            <w:tcW w:w="1809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 w:left="-108"/>
              <w:rPr>
                <w:rFonts w:ascii="Calibri" w:hAnsi="Calibri" w:eastAsia="Times New Roman" w:cs="Times New Roman"/>
                <w:color w:val="5a5a5a"/>
                <w:sz w:val="20"/>
                <w:szCs w:val="20"/>
                <w:lang w:bidi="en-US"/>
              </w:rPr>
            </w:pPr>
            <w:r>
              <w:rPr>
                <w:rFonts w:ascii="Calibri" w:hAnsi="Calibri" w:eastAsia="Times New Roman" w:cs="Times New Roman"/>
                <w:color w:val="5a5a5a"/>
                <w:sz w:val="20"/>
                <w:szCs w:val="20"/>
                <w:lang w:bidi="en-US"/>
              </w:rPr>
            </w:r>
            <w:r>
              <w:rPr>
                <w:rFonts w:ascii="Calibri" w:hAnsi="Calibri" w:eastAsia="Times New Roman" w:cs="Times New Roman"/>
                <w:color w:val="5a5a5a"/>
                <w:sz w:val="20"/>
                <w:szCs w:val="20"/>
                <w:lang w:bidi="en-US"/>
              </w:rPr>
            </w:r>
            <w:r>
              <w:rPr>
                <w:rFonts w:ascii="Calibri" w:hAnsi="Calibri" w:eastAsia="Times New Roman" w:cs="Times New Roman"/>
                <w:color w:val="5a5a5a"/>
                <w:sz w:val="20"/>
                <w:szCs w:val="20"/>
                <w:lang w:bidi="en-US"/>
              </w:rPr>
            </w:r>
          </w:p>
        </w:tc>
        <w:tc>
          <w:tcPr>
            <w:tcBorders/>
            <w:tcW w:w="7572" w:type="dxa"/>
            <w:vAlign w:val="center"/>
            <w:textDirection w:val="lrTb"/>
            <w:noWrap w:val="false"/>
          </w:tcPr>
          <w:p>
            <w:pPr>
              <w:pBdr>
                <w:bottom w:val="single" w:color="938953" w:sz="8" w:space="1"/>
              </w:pBdr>
              <w:spacing w:after="0" w:line="240" w:lineRule="auto"/>
              <w:ind/>
              <w:contextualSpacing w:val="true"/>
              <w:jc w:val="center"/>
              <w:outlineLvl w:val="6"/>
              <w:rPr>
                <w:rFonts w:ascii="Times New Roman" w:hAnsi="Times New Roman" w:eastAsia="Times New Roman" w:cs="Times New Roman"/>
                <w:b/>
                <w:bCs/>
                <w:smallCaps/>
                <w:spacing w:val="20"/>
                <w:sz w:val="17"/>
                <w:szCs w:val="17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mallCaps/>
                <w:spacing w:val="20"/>
                <w:sz w:val="17"/>
                <w:szCs w:val="17"/>
                <w:lang w:bidi="en-US"/>
              </w:rPr>
              <w:t xml:space="preserve">AKREDYTOWANA PLACÓWKA DOSKONALENIA NAUCZYCIELI</w:t>
            </w:r>
            <w:r>
              <w:rPr>
                <w:rFonts w:ascii="Times New Roman" w:hAnsi="Times New Roman" w:eastAsia="Times New Roman" w:cs="Times New Roman"/>
                <w:b/>
                <w:bCs/>
                <w:smallCaps/>
                <w:spacing w:val="20"/>
                <w:sz w:val="17"/>
                <w:szCs w:val="17"/>
                <w:lang w:bidi="en-US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mallCaps/>
                <w:spacing w:val="20"/>
                <w:sz w:val="17"/>
                <w:szCs w:val="17"/>
                <w:lang w:bidi="en-US"/>
              </w:rPr>
            </w:r>
          </w:p>
        </w:tc>
      </w:tr>
    </w:tbl>
    <w:p>
      <w:pPr>
        <w:pBdr/>
        <w:spacing w:after="0" w:line="240" w:lineRule="auto"/>
        <w:ind/>
        <w:rPr>
          <w:rFonts w:asciiTheme="majorHAnsi" w:hAnsiTheme="majorHAnsi" w:cstheme="minorHAnsi"/>
          <w:b/>
          <w:sz w:val="2"/>
          <w:szCs w:val="2"/>
        </w:rPr>
      </w:pPr>
      <w:r>
        <w:rPr>
          <w:rFonts w:asciiTheme="majorHAnsi" w:hAnsiTheme="majorHAnsi" w:cstheme="minorHAnsi"/>
          <w:b/>
          <w:sz w:val="2"/>
          <w:szCs w:val="2"/>
        </w:rPr>
      </w:r>
      <w:r>
        <w:rPr>
          <w:rFonts w:asciiTheme="majorHAnsi" w:hAnsiTheme="majorHAnsi" w:cstheme="minorHAnsi"/>
          <w:b/>
          <w:sz w:val="2"/>
          <w:szCs w:val="2"/>
        </w:rPr>
      </w:r>
      <w:r>
        <w:rPr>
          <w:rFonts w:asciiTheme="majorHAnsi" w:hAnsiTheme="majorHAnsi" w:cstheme="minorHAnsi"/>
          <w:b/>
          <w:sz w:val="2"/>
          <w:szCs w:val="2"/>
        </w:rPr>
      </w:r>
    </w:p>
    <w:tbl>
      <w:tblPr>
        <w:tblStyle w:val="869"/>
        <w:tblpPr w:horzAnchor="margin" w:tblpX="-170" w:vertAnchor="text" w:tblpY="506" w:leftFromText="141" w:topFromText="0" w:rightFromText="141" w:bottomFromText="0"/>
        <w:tblW w:w="10058" w:type="dxa"/>
        <w:tblBorders/>
        <w:tblLayout w:type="fixed"/>
        <w:tblLook w:val="04A0" w:firstRow="1" w:lastRow="0" w:firstColumn="1" w:lastColumn="0" w:noHBand="0" w:noVBand="1"/>
      </w:tblPr>
      <w:tblGrid>
        <w:gridCol w:w="170"/>
        <w:gridCol w:w="1384"/>
        <w:gridCol w:w="1190"/>
        <w:gridCol w:w="4055"/>
        <w:gridCol w:w="3118"/>
        <w:gridCol w:w="141"/>
      </w:tblGrid>
      <w:tr>
        <w:trPr/>
        <w:tc>
          <w:tcPr>
            <w:gridSpan w:val="6"/>
            <w:tcBorders/>
            <w:tcW w:w="1005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Podstawy pomiaru dydaktycznego oraz konstruowania i ewaluacji testu dydaktycznego</w:t>
            </w:r>
            <w:r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</w:r>
          </w:p>
        </w:tc>
      </w:tr>
      <w:tr>
        <w:trPr>
          <w:gridAfter w:val="1"/>
          <w:gridBefore w:val="1"/>
        </w:trPr>
        <w:tc>
          <w:tcPr>
            <w:gridSpan w:val="2"/>
            <w:tcBorders/>
            <w:tcW w:w="2574" w:type="dxa"/>
            <w:vAlign w:val="center"/>
            <w:textDirection w:val="lrTb"/>
            <w:noWrap w:val="false"/>
          </w:tcPr>
          <w:p>
            <w:pPr>
              <w:pBdr/>
              <w:spacing w:after="60" w:before="60" w:line="276" w:lineRule="auto"/>
              <w:ind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Forma:</w: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</w:r>
          </w:p>
        </w:tc>
        <w:tc>
          <w:tcPr>
            <w:gridSpan w:val="2"/>
            <w:tcBorders/>
            <w:tcW w:w="7173" w:type="dxa"/>
            <w:vAlign w:val="center"/>
            <w:textDirection w:val="lrTb"/>
            <w:noWrap w:val="false"/>
          </w:tcPr>
          <w:p>
            <w:pPr>
              <w:pBdr/>
              <w:spacing w:after="60" w:before="60" w:line="276" w:lineRule="auto"/>
              <w:ind/>
              <w:rPr>
                <w:rFonts w:cstheme="minorHAnsi"/>
              </w:rPr>
            </w:pPr>
            <w:r>
              <w:rPr>
                <w:rFonts w:cstheme="minorHAnsi"/>
              </w:rPr>
              <w:t xml:space="preserve">S</w:t>
            </w:r>
            <w:r>
              <w:rPr>
                <w:rFonts w:cstheme="minorHAnsi"/>
              </w:rPr>
              <w:t xml:space="preserve">zkolenie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</w:tc>
      </w:tr>
      <w:tr>
        <w:trPr>
          <w:gridAfter w:val="1"/>
          <w:gridBefore w:val="1"/>
        </w:trPr>
        <w:tc>
          <w:tcPr>
            <w:gridSpan w:val="2"/>
            <w:tcBorders/>
            <w:tcW w:w="2574" w:type="dxa"/>
            <w:vAlign w:val="center"/>
            <w:textDirection w:val="lrTb"/>
            <w:noWrap w:val="false"/>
          </w:tcPr>
          <w:p>
            <w:pPr>
              <w:pBdr/>
              <w:spacing w:after="60" w:before="60"/>
              <w:ind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Oferta przeznaczona dla:</w: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</w:r>
          </w:p>
        </w:tc>
        <w:tc>
          <w:tcPr>
            <w:gridSpan w:val="2"/>
            <w:tcBorders/>
            <w:tcW w:w="7173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9"/>
              </w:numPr>
              <w:pBdr/>
              <w:spacing w:after="60" w:before="60"/>
              <w:ind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 xml:space="preserve">dyrektorów, wicedyrektorów szkół podstawowych i ponadpodstawowych</w: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</w:tc>
      </w:tr>
      <w:tr>
        <w:trPr>
          <w:gridAfter w:val="1"/>
          <w:gridBefore w:val="1"/>
        </w:trPr>
        <w:tc>
          <w:tcPr>
            <w:gridSpan w:val="2"/>
            <w:tcBorders/>
            <w:tcW w:w="2574" w:type="dxa"/>
            <w:vAlign w:val="center"/>
            <w:textDirection w:val="lrTb"/>
            <w:noWrap w:val="false"/>
          </w:tcPr>
          <w:p>
            <w:pPr>
              <w:pBdr/>
              <w:spacing w:after="60" w:before="60" w:line="276" w:lineRule="auto"/>
              <w:ind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Planowany t</w:t>
            </w:r>
            <w:r>
              <w:rPr>
                <w:rFonts w:cstheme="minorHAnsi"/>
                <w:b/>
              </w:rPr>
              <w:t xml:space="preserve">ermin</w:t>
            </w:r>
            <w:r>
              <w:rPr>
                <w:rFonts w:cstheme="minorHAnsi"/>
                <w:b/>
              </w:rPr>
              <w:t xml:space="preserve"> rozpoczęcia</w:t>
            </w:r>
            <w:r>
              <w:rPr>
                <w:rFonts w:cstheme="minorHAnsi"/>
                <w:b/>
              </w:rPr>
              <w:t xml:space="preserve">:</w: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</w:r>
          </w:p>
        </w:tc>
        <w:tc>
          <w:tcPr>
            <w:tcBorders/>
            <w:tcW w:w="4055" w:type="dxa"/>
            <w:vAlign w:val="center"/>
            <w:textDirection w:val="lrTb"/>
            <w:noWrap w:val="false"/>
          </w:tcPr>
          <w:p>
            <w:pPr>
              <w:pBdr/>
              <w:spacing w:after="60" w:before="60" w:line="276" w:lineRule="auto"/>
              <w:ind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12 marca</w:t>
            </w:r>
            <w:r>
              <w:rPr>
                <w:rFonts w:cstheme="minorHAnsi"/>
                <w:b/>
                <w:bCs/>
              </w:rPr>
              <w:t xml:space="preserve"> 202</w:t>
            </w:r>
            <w:r>
              <w:rPr>
                <w:rFonts w:cstheme="minorHAnsi"/>
                <w:b/>
                <w:bCs/>
              </w:rPr>
              <w:t xml:space="preserve">5 roku, godz. 16</w:t>
            </w:r>
            <w:r>
              <w:rPr>
                <w:rFonts w:cstheme="minorHAnsi"/>
                <w:b/>
                <w:bCs/>
              </w:rPr>
              <w:t xml:space="preserve">.00</w:t>
            </w:r>
            <w:r>
              <w:rPr>
                <w:rFonts w:cstheme="minorHAnsi"/>
                <w:b/>
                <w:bCs/>
              </w:rPr>
            </w:r>
            <w:r>
              <w:rPr>
                <w:rFonts w:cstheme="minorHAnsi"/>
                <w:b/>
                <w:bCs/>
              </w:rPr>
            </w:r>
          </w:p>
        </w:tc>
        <w:tc>
          <w:tcPr>
            <w:shd w:val="clear" w:color="auto" w:fill="ffff99"/>
            <w:tcBorders/>
            <w:tcW w:w="3118" w:type="dxa"/>
            <w:vAlign w:val="center"/>
            <w:textDirection w:val="lrTb"/>
            <w:noWrap w:val="false"/>
          </w:tcPr>
          <w:p>
            <w:pPr>
              <w:pBdr/>
              <w:spacing w:after="60" w:before="60" w:line="276" w:lineRule="auto"/>
              <w:ind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ZAPISY DO:  </w:t>
            </w:r>
            <w:r>
              <w:rPr>
                <w:rFonts w:cstheme="minorHAnsi"/>
                <w:b/>
              </w:rPr>
              <w:t xml:space="preserve">7.03.2025</w:t>
            </w:r>
            <w:r>
              <w:rPr>
                <w:rFonts w:cstheme="minorHAnsi"/>
                <w:b/>
              </w:rPr>
              <w:t xml:space="preserve"> r.</w: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</w:r>
          </w:p>
        </w:tc>
      </w:tr>
      <w:tr>
        <w:trPr>
          <w:gridAfter w:val="1"/>
          <w:gridBefore w:val="1"/>
        </w:trPr>
        <w:tc>
          <w:tcPr>
            <w:gridSpan w:val="2"/>
            <w:tcBorders/>
            <w:tcW w:w="2574" w:type="dxa"/>
            <w:vAlign w:val="center"/>
            <w:textDirection w:val="lrTb"/>
            <w:noWrap w:val="false"/>
          </w:tcPr>
          <w:p>
            <w:pPr>
              <w:pBdr/>
              <w:spacing w:after="60" w:before="60" w:line="276" w:lineRule="auto"/>
              <w:ind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Liczba godzin:</w: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</w:r>
          </w:p>
        </w:tc>
        <w:tc>
          <w:tcPr>
            <w:gridSpan w:val="2"/>
            <w:tcBorders/>
            <w:tcW w:w="7173" w:type="dxa"/>
            <w:vAlign w:val="center"/>
            <w:textDirection w:val="lrTb"/>
            <w:noWrap w:val="false"/>
          </w:tcPr>
          <w:p>
            <w:pPr>
              <w:pBdr/>
              <w:spacing w:after="60" w:before="60" w:line="276" w:lineRule="auto"/>
              <w:ind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4</w:t>
            </w:r>
            <w:r>
              <w:rPr>
                <w:rFonts w:cstheme="minorHAnsi"/>
                <w:b/>
              </w:rPr>
              <w:t xml:space="preserve"> godzin</w:t>
            </w:r>
            <w:r>
              <w:rPr>
                <w:rFonts w:cstheme="minorHAnsi"/>
                <w:b/>
              </w:rPr>
              <w:t xml:space="preserve">y</w:t>
            </w:r>
            <w:r>
              <w:rPr>
                <w:rFonts w:cstheme="minorHAnsi"/>
                <w:b/>
              </w:rPr>
              <w:t xml:space="preserve"> dydaktyczn</w:t>
            </w:r>
            <w:r>
              <w:rPr>
                <w:rFonts w:cstheme="minorHAnsi"/>
                <w:b/>
              </w:rPr>
              <w:t xml:space="preserve">e</w: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</w:r>
          </w:p>
        </w:tc>
      </w:tr>
      <w:tr>
        <w:trPr>
          <w:gridAfter w:val="1"/>
          <w:gridBefore w:val="1"/>
        </w:trPr>
        <w:tc>
          <w:tcPr>
            <w:gridSpan w:val="2"/>
            <w:tcBorders/>
            <w:tcW w:w="2574" w:type="dxa"/>
            <w:vAlign w:val="center"/>
            <w:textDirection w:val="lrTb"/>
            <w:noWrap w:val="false"/>
          </w:tcPr>
          <w:p>
            <w:pPr>
              <w:pBdr/>
              <w:spacing w:after="60" w:before="60" w:line="276" w:lineRule="auto"/>
              <w:ind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Odpłatność:</w: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</w:r>
          </w:p>
        </w:tc>
        <w:tc>
          <w:tcPr>
            <w:gridSpan w:val="2"/>
            <w:tcBorders/>
            <w:tcW w:w="7173" w:type="dxa"/>
            <w:vAlign w:val="center"/>
            <w:textDirection w:val="lrTb"/>
            <w:noWrap w:val="false"/>
          </w:tcPr>
          <w:p>
            <w:pPr>
              <w:pBdr/>
              <w:spacing w:after="60" w:before="60" w:line="276" w:lineRule="auto"/>
              <w:ind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9</w:t>
            </w:r>
            <w:r>
              <w:rPr>
                <w:rFonts w:cstheme="minorHAnsi"/>
                <w:b/>
              </w:rPr>
              <w:t xml:space="preserve">0 zł</w: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</w:r>
          </w:p>
        </w:tc>
      </w:tr>
      <w:tr>
        <w:trPr>
          <w:gridAfter w:val="1"/>
          <w:gridBefore w:val="1"/>
        </w:trPr>
        <w:tc>
          <w:tcPr>
            <w:gridSpan w:val="2"/>
            <w:tcBorders/>
            <w:tcW w:w="2574" w:type="dxa"/>
            <w:vAlign w:val="center"/>
            <w:textDirection w:val="lrTb"/>
            <w:noWrap w:val="false"/>
          </w:tcPr>
          <w:p>
            <w:pPr>
              <w:pBdr/>
              <w:spacing w:after="60" w:before="60" w:line="276" w:lineRule="auto"/>
              <w:ind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Miejsce:</w: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</w:r>
          </w:p>
        </w:tc>
        <w:tc>
          <w:tcPr>
            <w:gridSpan w:val="2"/>
            <w:tcBorders/>
            <w:tcW w:w="7173" w:type="dxa"/>
            <w:vAlign w:val="center"/>
            <w:textDirection w:val="lrTb"/>
            <w:noWrap w:val="false"/>
          </w:tcPr>
          <w:p>
            <w:pPr>
              <w:pBdr/>
              <w:spacing w:after="60" w:before="60" w:line="276" w:lineRule="auto"/>
              <w:ind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Centrum Kształcenia Ustawicznego Ośrodek Doskonalenia i Doradztwa Zawodowego Nauczycieli w Grudziądzu</w: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</w:r>
          </w:p>
        </w:tc>
      </w:tr>
      <w:tr>
        <w:trPr>
          <w:gridAfter w:val="1"/>
          <w:gridBefore w:val="1"/>
          <w:trHeight w:val="1021"/>
        </w:trPr>
        <w:tc>
          <w:tcPr>
            <w:tcBorders/>
            <w:tcW w:w="1384" w:type="dxa"/>
            <w:vAlign w:val="center"/>
            <w:textDirection w:val="lrTb"/>
            <w:noWrap w:val="false"/>
          </w:tcPr>
          <w:p>
            <w:pPr>
              <w:pBdr/>
              <w:spacing w:after="60" w:before="60" w:line="276" w:lineRule="auto"/>
              <w:ind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Zakres tematyczny:</w: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</w:r>
          </w:p>
        </w:tc>
        <w:tc>
          <w:tcPr>
            <w:gridSpan w:val="3"/>
            <w:tcBorders/>
            <w:tcW w:w="8363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16"/>
              </w:numPr>
              <w:pBdr/>
              <w:spacing/>
              <w:ind w:left="3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Właściwości pomiaru dydaktycznego (obiektywizm, trafność, rzetelność, obiektywizm punktowania, niezależność sytuacji pomiarowej)</w:t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</w:p>
          <w:p>
            <w:pPr>
              <w:pStyle w:val="870"/>
              <w:numPr>
                <w:ilvl w:val="0"/>
                <w:numId w:val="16"/>
              </w:numPr>
              <w:pBdr/>
              <w:spacing/>
              <w:ind w:left="3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Rodzaje i cechy pomiaru dydaktycznego</w:t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</w:p>
          <w:p>
            <w:pPr>
              <w:pStyle w:val="870"/>
              <w:numPr>
                <w:ilvl w:val="0"/>
                <w:numId w:val="17"/>
              </w:numPr>
              <w:pBdr/>
              <w:spacing/>
              <w:ind w:left="708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Pomiar sprawdzający </w:t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</w:p>
          <w:p>
            <w:pPr>
              <w:pStyle w:val="870"/>
              <w:numPr>
                <w:ilvl w:val="0"/>
                <w:numId w:val="17"/>
              </w:numPr>
              <w:pBdr/>
              <w:spacing/>
              <w:ind w:left="708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Pomiar różnicujący </w:t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</w:p>
          <w:p>
            <w:pPr>
              <w:pStyle w:val="870"/>
              <w:numPr>
                <w:ilvl w:val="0"/>
                <w:numId w:val="16"/>
              </w:numPr>
              <w:pBdr/>
              <w:spacing/>
              <w:ind w:left="3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Test jako podstawowe narzędzie pomiaru dydaktycznego</w:t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</w:p>
          <w:p>
            <w:pPr>
              <w:pStyle w:val="870"/>
              <w:numPr>
                <w:ilvl w:val="0"/>
                <w:numId w:val="16"/>
              </w:numPr>
              <w:pBdr/>
              <w:spacing/>
              <w:ind w:left="3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Wymagania stawiane testom dydaktycznym (obiektywność, rzetelność, trafność testu, niezawodność, czułość, diagnostyczność, prognostyczność, standaryzacja,  normalizacja, użyteczność)</w:t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</w:p>
          <w:p>
            <w:pPr>
              <w:pStyle w:val="870"/>
              <w:numPr>
                <w:ilvl w:val="0"/>
                <w:numId w:val="16"/>
              </w:numPr>
              <w:pBdr/>
              <w:spacing/>
              <w:ind w:left="3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Rodzaje i charakterystyka zadań testowych</w:t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</w:p>
          <w:p>
            <w:pPr>
              <w:pStyle w:val="870"/>
              <w:numPr>
                <w:ilvl w:val="0"/>
                <w:numId w:val="18"/>
              </w:numPr>
              <w:pBdr/>
              <w:spacing/>
              <w:ind w:left="3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Konstruowanie zadań</w:t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</w:p>
          <w:p>
            <w:pPr>
              <w:pStyle w:val="870"/>
              <w:numPr>
                <w:ilvl w:val="0"/>
                <w:numId w:val="18"/>
              </w:numPr>
              <w:pBdr/>
              <w:spacing/>
              <w:ind w:left="3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Opracowanie modelu poprawnych odpowiedzi (klucz i arkusz odpowiedzi).</w:t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</w:p>
          <w:p>
            <w:pPr>
              <w:pStyle w:val="870"/>
              <w:numPr>
                <w:ilvl w:val="0"/>
                <w:numId w:val="16"/>
              </w:numPr>
              <w:pBdr/>
              <w:spacing/>
              <w:ind w:left="3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Analiza i wartościowanie zadań testu</w:t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</w:p>
          <w:p>
            <w:pPr>
              <w:pStyle w:val="870"/>
              <w:numPr>
                <w:ilvl w:val="0"/>
                <w:numId w:val="19"/>
              </w:numPr>
              <w:pBdr/>
              <w:spacing/>
              <w:ind w:left="10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Procedura jakościowa (poprawność dydaktyczna, rzetelność zadania testowego, stosowność zadania testowego)</w:t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</w:p>
          <w:p>
            <w:pPr>
              <w:pStyle w:val="870"/>
              <w:numPr>
                <w:ilvl w:val="0"/>
                <w:numId w:val="19"/>
              </w:numPr>
              <w:pBdr/>
              <w:spacing/>
              <w:ind w:left="10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Procedura ilościowa (frakcja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opuszczeń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, łatwość zadania testowego, moc różnicująca zadania)</w:t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</w:p>
          <w:p>
            <w:pPr>
              <w:pStyle w:val="870"/>
              <w:numPr>
                <w:ilvl w:val="0"/>
                <w:numId w:val="16"/>
              </w:numPr>
              <w:pBdr/>
              <w:spacing/>
              <w:ind w:left="3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Wyliczenie podstawowych parametrów statystycznych testu </w:t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</w:p>
          <w:p>
            <w:pPr>
              <w:pStyle w:val="870"/>
              <w:numPr>
                <w:ilvl w:val="0"/>
                <w:numId w:val="20"/>
              </w:numPr>
              <w:pBdr/>
              <w:spacing/>
              <w:ind w:left="10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miar tendencji centralnej - średnia arytmetyczna, modalna, mediana</w:t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</w:p>
          <w:p>
            <w:pPr>
              <w:pStyle w:val="870"/>
              <w:numPr>
                <w:ilvl w:val="0"/>
                <w:numId w:val="20"/>
              </w:numPr>
              <w:pBdr/>
              <w:spacing/>
              <w:ind w:left="10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miar rozproszenia/rozrzutu -  rozstęp, wariancja, odchylenie standardowe </w:t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</w:p>
          <w:p>
            <w:pPr>
              <w:pStyle w:val="870"/>
              <w:numPr>
                <w:ilvl w:val="0"/>
                <w:numId w:val="16"/>
              </w:numPr>
              <w:pBdr/>
              <w:spacing/>
              <w:ind w:left="3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Ćwiczenia </w:t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</w:p>
          <w:p>
            <w:pPr>
              <w:pStyle w:val="870"/>
              <w:numPr>
                <w:ilvl w:val="0"/>
                <w:numId w:val="21"/>
              </w:numPr>
              <w:pBdr/>
              <w:spacing/>
              <w:ind w:left="10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Wnioskowanie o rozwoju ucznia lub szkoły na podstawie wyników diagnozy zewnętrznej przy zastosowaniu znormalizowanej skali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staninowej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</w:p>
          <w:p>
            <w:pPr>
              <w:pStyle w:val="870"/>
              <w:numPr>
                <w:ilvl w:val="0"/>
                <w:numId w:val="21"/>
              </w:numPr>
              <w:pBdr/>
              <w:spacing/>
              <w:ind w:left="10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Obliczanie wskaźnika rzetelności testu</w:t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</w:p>
          <w:p>
            <w:pPr>
              <w:pStyle w:val="870"/>
              <w:numPr>
                <w:ilvl w:val="0"/>
                <w:numId w:val="21"/>
              </w:numPr>
              <w:pBdr/>
              <w:spacing/>
              <w:ind w:left="10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Wyliczanie podstawowych parametrów statystycznych testu i zdań testowych </w:t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</w:p>
          <w:p>
            <w:pPr>
              <w:pStyle w:val="870"/>
              <w:numPr>
                <w:ilvl w:val="0"/>
                <w:numId w:val="21"/>
              </w:numPr>
              <w:pBdr/>
              <w:spacing/>
              <w:ind w:left="10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Wybór, konstruowanie lub weryfikowanie zadań testowych </w:t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</w:p>
          <w:p>
            <w:pPr>
              <w:pStyle w:val="870"/>
              <w:numPr>
                <w:ilvl w:val="0"/>
                <w:numId w:val="21"/>
              </w:numPr>
              <w:pBdr/>
              <w:spacing/>
              <w:ind w:left="10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Formułowanie wniosków do pracy dydaktycznej z uczniem, klasą na podstawie wyników testu </w:t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  <w:r>
              <w:rPr>
                <w:rFonts w:ascii="Calibri" w:hAnsi="Calibri" w:eastAsia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</w:r>
          </w:p>
        </w:tc>
      </w:tr>
      <w:tr>
        <w:trPr>
          <w:gridAfter w:val="1"/>
          <w:gridBefore w:val="1"/>
        </w:trPr>
        <w:tc>
          <w:tcPr>
            <w:tcBorders/>
            <w:tcW w:w="1384" w:type="dxa"/>
            <w:vAlign w:val="center"/>
            <w:textDirection w:val="lrTb"/>
            <w:noWrap w:val="false"/>
          </w:tcPr>
          <w:p>
            <w:pPr>
              <w:pBdr/>
              <w:spacing w:after="60" w:before="60" w:line="276" w:lineRule="auto"/>
              <w:ind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Prowadzący:</w: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</w:r>
          </w:p>
        </w:tc>
        <w:tc>
          <w:tcPr>
            <w:gridSpan w:val="3"/>
            <w:tcBorders/>
            <w:tcW w:w="8363" w:type="dxa"/>
            <w:vAlign w:val="center"/>
            <w:textDirection w:val="lrTb"/>
            <w:noWrap w:val="false"/>
          </w:tcPr>
          <w:p>
            <w:pPr>
              <w:pBdr/>
              <w:spacing w:after="60" w:before="60" w:line="276" w:lineRule="auto"/>
              <w:ind/>
              <w:rPr>
                <w:rFonts w:cstheme="minorHAnsi"/>
              </w:rPr>
            </w:pPr>
            <w:r>
              <w:rPr>
                <w:rFonts w:cstheme="minorHAnsi"/>
              </w:rPr>
              <w:t xml:space="preserve">Krzysztof Bylicki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 pracownik nadzoru pedagogicznego, st. wizytator</w: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</w:tc>
      </w:tr>
      <w:tr>
        <w:trPr>
          <w:gridAfter w:val="1"/>
          <w:gridBefore w:val="1"/>
        </w:trPr>
        <w:tc>
          <w:tcPr>
            <w:tcBorders/>
            <w:tcW w:w="1384" w:type="dxa"/>
            <w:vAlign w:val="center"/>
            <w:textDirection w:val="lrTb"/>
            <w:noWrap w:val="false"/>
          </w:tcPr>
          <w:p>
            <w:pPr>
              <w:pBdr/>
              <w:spacing w:after="60" w:before="60" w:line="276" w:lineRule="auto"/>
              <w:ind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Kierownik szkolenia:</w: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</w:r>
          </w:p>
        </w:tc>
        <w:tc>
          <w:tcPr>
            <w:gridSpan w:val="3"/>
            <w:tcBorders/>
            <w:tcW w:w="8363" w:type="dxa"/>
            <w:vAlign w:val="center"/>
            <w:textDirection w:val="lrTb"/>
            <w:noWrap w:val="false"/>
          </w:tcPr>
          <w:p>
            <w:pPr>
              <w:pBdr/>
              <w:spacing w:after="60" w:before="60" w:line="276" w:lineRule="auto"/>
              <w:ind/>
              <w:rPr>
                <w:rFonts w:cstheme="minorHAnsi"/>
              </w:rPr>
            </w:pPr>
            <w:r>
              <w:rPr>
                <w:rFonts w:cstheme="minorHAnsi"/>
              </w:rPr>
              <w:t xml:space="preserve">Krzysztof  Żurawski</w:t>
            </w:r>
            <w:r>
              <w:rPr>
                <w:rFonts w:cstheme="minorHAnsi"/>
              </w:rPr>
              <w:t xml:space="preserve"> – doradca metodyczny </w:t>
            </w:r>
            <w:r>
              <w:rPr>
                <w:rFonts w:cstheme="minorHAnsi"/>
              </w:rPr>
              <w:t xml:space="preserve">CKU-</w:t>
            </w:r>
            <w:r>
              <w:rPr>
                <w:rFonts w:cstheme="minorHAnsi"/>
              </w:rPr>
              <w:t xml:space="preserve">ODiDZN</w: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  <w:p>
            <w:pPr>
              <w:pBdr/>
              <w:spacing w:after="60" w:before="60" w:line="276" w:lineRule="auto"/>
              <w:ind/>
              <w:rPr>
                <w:rFonts w:cstheme="minorHAnsi"/>
              </w:rPr>
            </w:pPr>
            <w:r>
              <w:rPr>
                <w:rFonts w:cstheme="minorHAnsi"/>
              </w:rPr>
              <w:t xml:space="preserve">Tel</w:t>
            </w:r>
            <w:r>
              <w:rPr>
                <w:rFonts w:cstheme="minorHAnsi"/>
              </w:rPr>
              <w:t xml:space="preserve">.</w:t>
            </w:r>
            <w:r>
              <w:rPr>
                <w:rFonts w:cstheme="minorHAnsi"/>
              </w:rPr>
              <w:t xml:space="preserve">:  </w:t>
            </w:r>
            <w:r>
              <w:rPr>
                <w:rFonts w:cstheme="minorHAnsi"/>
              </w:rPr>
              <w:t xml:space="preserve">697 740 028</w:t>
            </w:r>
            <w:r>
              <w:rPr>
                <w:rFonts w:cstheme="minorHAnsi"/>
              </w:rPr>
              <w:t xml:space="preserve">    </w:t>
            </w:r>
            <w:r>
              <w:rPr>
                <w:rFonts w:cstheme="minorHAnsi"/>
              </w:rPr>
              <w:t xml:space="preserve">            e-mail:  kzurawski</w:t>
            </w:r>
            <w:r>
              <w:rPr>
                <w:rFonts w:cstheme="minorHAnsi"/>
              </w:rPr>
              <w:t xml:space="preserve">@odn-grudziadz.edu.pl</w: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</w:tc>
      </w:tr>
      <w:tr>
        <w:trPr>
          <w:gridAfter w:val="1"/>
          <w:gridBefore w:val="1"/>
        </w:trPr>
        <w:tc>
          <w:tcPr>
            <w:tcBorders/>
            <w:tcW w:w="1384" w:type="dxa"/>
            <w:vAlign w:val="center"/>
            <w:textDirection w:val="lrTb"/>
            <w:noWrap w:val="false"/>
          </w:tcPr>
          <w:p>
            <w:pPr>
              <w:pBdr/>
              <w:spacing w:after="60" w:before="60" w:line="276" w:lineRule="auto"/>
              <w:ind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Organizacja:</w: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</w:r>
          </w:p>
        </w:tc>
        <w:tc>
          <w:tcPr>
            <w:gridSpan w:val="3"/>
            <w:tcBorders/>
            <w:tcW w:w="8363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6"/>
              </w:numPr>
              <w:pBdr/>
              <w:spacing w:after="60" w:line="276" w:lineRule="auto"/>
              <w:ind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 celu potwierdzenia swojego uczestnictwa w </w:t>
            </w:r>
            <w:r>
              <w:rPr>
                <w:rFonts w:cstheme="minorHAnsi"/>
              </w:rPr>
              <w:t xml:space="preserve">szkoleniu</w:t>
            </w:r>
            <w:r>
              <w:rPr>
                <w:rFonts w:cstheme="minorHAnsi"/>
              </w:rPr>
              <w:t xml:space="preserve"> należy wypełnić i przesłać </w:t>
            </w:r>
            <w:r>
              <w:rPr>
                <w:rFonts w:cstheme="minorHAnsi"/>
                <w:i/>
              </w:rPr>
              <w:t xml:space="preserve">Kartę zgłoszenia</w:t>
            </w:r>
            <w:r>
              <w:rPr>
                <w:rFonts w:cstheme="minorHAnsi"/>
              </w:rPr>
              <w:t xml:space="preserve">  - link do Karty </w:t>
            </w:r>
            <w:hyperlink r:id="rId10" w:tooltip="%20%20%20https:/tiny.pl/9kcwl" w:history="1">
              <w:r>
                <w:rPr>
                  <w:rStyle w:val="864"/>
                  <w:rFonts w:cstheme="minorHAnsi"/>
                </w:rPr>
                <w:t xml:space="preserve">https://tiny.pl/9kcwl</w:t>
              </w:r>
            </w:hyperlink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  <w:p>
            <w:pPr>
              <w:pStyle w:val="870"/>
              <w:pBdr/>
              <w:spacing w:after="60"/>
              <w:ind w:left="360"/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</w:rPr>
              <w:t xml:space="preserve">Kartę zgłoszenia można również pobrać ze strony Ośrodka </w:t>
            </w:r>
            <w:hyperlink r:id="rId11" w:tooltip="http://www.odn-grudziadz.ehost.pl/" w:history="1">
              <w:r>
                <w:rPr>
                  <w:rStyle w:val="864"/>
                  <w:rFonts w:cstheme="minorHAnsi"/>
                </w:rPr>
                <w:t xml:space="preserve">http://www.odn-grudziadz.ehost.pl/</w:t>
              </w:r>
            </w:hyperlink>
            <w:r>
              <w:rPr>
                <w:rFonts w:cstheme="minorHAnsi"/>
              </w:rPr>
              <w:t xml:space="preserve"> w zakładce </w:t>
            </w:r>
            <w:r>
              <w:rPr>
                <w:rFonts w:cstheme="minorHAnsi"/>
                <w:i/>
              </w:rPr>
              <w:t xml:space="preserve">Zapis elektroniczny </w:t>
            </w:r>
            <w:r>
              <w:rPr>
                <w:rFonts w:cstheme="minorHAnsi"/>
              </w:rPr>
              <w:t xml:space="preserve">lub </w:t>
            </w:r>
            <w:r>
              <w:rPr>
                <w:rFonts w:cstheme="minorHAnsi"/>
                <w:i/>
              </w:rPr>
              <w:t xml:space="preserve">Zgłoszenia </w:t>
            </w:r>
            <w:r>
              <w:rPr>
                <w:rFonts w:ascii="Wingdings" w:hAnsi="Wingdings" w:eastAsia="Wingdings" w:cs="Wingdings"/>
              </w:rPr>
              <w:t xml:space="preserve">à</w:t>
            </w:r>
            <w:r>
              <w:rPr>
                <w:rFonts w:cstheme="minorHAnsi"/>
                <w:i/>
              </w:rPr>
              <w:t xml:space="preserve"> </w:t>
            </w:r>
            <w:r>
              <w:rPr>
                <w:rFonts w:cstheme="minorHAnsi"/>
                <w:i/>
              </w:rPr>
              <w:t xml:space="preserve">Pobieralnia</w:t>
            </w:r>
            <w:r>
              <w:rPr>
                <w:rFonts w:cstheme="minorHAnsi"/>
                <w:i/>
              </w:rPr>
            </w:r>
            <w:r>
              <w:rPr>
                <w:rFonts w:cstheme="minorHAnsi"/>
                <w:i/>
              </w:rPr>
            </w:r>
          </w:p>
          <w:p>
            <w:pPr>
              <w:pStyle w:val="870"/>
              <w:numPr>
                <w:ilvl w:val="0"/>
                <w:numId w:val="6"/>
              </w:numPr>
              <w:pBdr/>
              <w:spacing w:after="60" w:before="60" w:line="276" w:lineRule="auto"/>
              <w:ind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Na </w:t>
            </w:r>
            <w:r>
              <w:rPr>
                <w:rFonts w:cstheme="minorHAnsi"/>
                <w:bCs/>
                <w:i/>
              </w:rPr>
              <w:t xml:space="preserve">Karcie zgłoszenia</w:t>
            </w:r>
            <w:r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/>
              </w:rPr>
              <w:t xml:space="preserve">konieczne jest</w:t>
            </w:r>
            <w:r>
              <w:rPr>
                <w:rFonts w:cstheme="minorHAnsi"/>
                <w:bCs/>
              </w:rPr>
              <w:t xml:space="preserve"> podanie adresata faktury:</w:t>
            </w:r>
            <w:r>
              <w:rPr>
                <w:rFonts w:cstheme="minorHAnsi"/>
                <w:bCs/>
              </w:rPr>
            </w:r>
            <w:r>
              <w:rPr>
                <w:rFonts w:cstheme="minorHAnsi"/>
                <w:bCs/>
              </w:rPr>
            </w:r>
          </w:p>
          <w:p>
            <w:pPr>
              <w:pStyle w:val="870"/>
              <w:numPr>
                <w:ilvl w:val="0"/>
                <w:numId w:val="15"/>
              </w:numPr>
              <w:pBdr/>
              <w:spacing w:after="60" w:before="60" w:line="276" w:lineRule="auto"/>
              <w:ind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W przypadku, gdy płatnikiem jest osoba uczestnicząca w szkoleniu należy podać dane tej osoby (imię i nazwisko, adres zamieszkania).</w:t>
            </w:r>
            <w:r>
              <w:rPr>
                <w:rFonts w:cstheme="minorHAnsi"/>
                <w:bCs/>
              </w:rPr>
            </w:r>
            <w:r>
              <w:rPr>
                <w:rFonts w:cstheme="minorHAnsi"/>
                <w:bCs/>
              </w:rPr>
            </w:r>
          </w:p>
          <w:p>
            <w:pPr>
              <w:pStyle w:val="870"/>
              <w:numPr>
                <w:ilvl w:val="0"/>
                <w:numId w:val="15"/>
              </w:numPr>
              <w:pBdr/>
              <w:spacing w:after="60" w:before="60" w:line="276" w:lineRule="auto"/>
              <w:ind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W przypadku, gdy płatnikiem jest instytucja (szkoła/placówka) należy podać dane dotyczące Nabywcy i Odbiorcy</w:t>
            </w:r>
            <w:r>
              <w:rPr>
                <w:rFonts w:cstheme="minorHAnsi"/>
                <w:bCs/>
              </w:rPr>
              <w:t xml:space="preserve">.</w:t>
            </w:r>
            <w:r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</w:r>
            <w:r>
              <w:rPr>
                <w:rFonts w:cstheme="minorHAnsi"/>
                <w:bCs/>
              </w:rPr>
            </w:r>
          </w:p>
          <w:p>
            <w:pPr>
              <w:pStyle w:val="870"/>
              <w:numPr>
                <w:ilvl w:val="0"/>
                <w:numId w:val="6"/>
              </w:numPr>
              <w:pBdr/>
              <w:spacing w:after="200" w:line="276" w:lineRule="auto"/>
              <w:ind/>
              <w:rPr>
                <w:rFonts w:cstheme="minorHAnsi"/>
              </w:rPr>
            </w:pPr>
            <w:r>
              <w:rPr>
                <w:rFonts w:cstheme="minorHAnsi"/>
              </w:rPr>
              <w:t xml:space="preserve">Dane na zaświadczeniu generowane są na podstawie Karty zgłoszenia.</w: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  <w:p>
            <w:pPr>
              <w:pStyle w:val="870"/>
              <w:numPr>
                <w:ilvl w:val="0"/>
                <w:numId w:val="6"/>
              </w:numPr>
              <w:pBdr/>
              <w:spacing w:after="60" w:before="60" w:line="276" w:lineRule="auto"/>
              <w:ind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Warunek odbycia szkolenia – minimum 1</w:t>
            </w:r>
            <w:r>
              <w:rPr>
                <w:rFonts w:cstheme="minorHAnsi"/>
              </w:rPr>
              <w:t xml:space="preserve">6</w:t>
            </w:r>
            <w:r>
              <w:rPr>
                <w:rFonts w:cstheme="minorHAnsi"/>
              </w:rPr>
              <w:t xml:space="preserve"> osób.</w: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  <w:p>
            <w:pPr>
              <w:pStyle w:val="870"/>
              <w:numPr>
                <w:ilvl w:val="0"/>
                <w:numId w:val="6"/>
              </w:numPr>
              <w:pBdr/>
              <w:spacing w:after="60" w:before="60" w:line="276" w:lineRule="auto"/>
              <w:ind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Uczestnicy przed szkoleniem otrzymają, na wskazany w karcie zgłoszenia </w:t>
            </w:r>
            <w:r>
              <w:rPr>
                <w:rFonts w:cstheme="minorHAnsi"/>
              </w:rPr>
              <w:t xml:space="preserve">numer telefonu/</w:t>
            </w:r>
            <w:r>
              <w:rPr>
                <w:rFonts w:cstheme="minorHAnsi"/>
              </w:rPr>
              <w:t xml:space="preserve">adres email, informację o zakwalifikowaniu się na szkolenie</w: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</w:r>
          </w:p>
          <w:p>
            <w:pPr>
              <w:pStyle w:val="870"/>
              <w:numPr>
                <w:ilvl w:val="0"/>
                <w:numId w:val="6"/>
              </w:numPr>
              <w:pBdr/>
              <w:spacing w:after="60"/>
              <w:ind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Cs/>
              </w:rPr>
              <w:t xml:space="preserve">Opłatę za szkolenie proszę dokonać po uzyskaniu informacji </w:t>
            </w:r>
            <w:r>
              <w:rPr>
                <w:rFonts w:cstheme="minorHAnsi"/>
                <w:bCs/>
              </w:rPr>
              <w:br/>
              <w:t xml:space="preserve">o zakwalifikowaniu się na szkolenie.</w: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</w:r>
          </w:p>
        </w:tc>
      </w:tr>
    </w:tbl>
    <w:p>
      <w:pPr>
        <w:pBdr/>
        <w:spacing w:after="0" w:line="240" w:lineRule="auto"/>
        <w:ind/>
        <w:jc w:val="center"/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/>
          <w:b/>
          <w:sz w:val="16"/>
          <w:szCs w:val="16"/>
        </w:rPr>
      </w:r>
      <w:r>
        <w:rPr>
          <w:rFonts w:asciiTheme="majorHAnsi" w:hAnsiTheme="majorHAnsi"/>
          <w:b/>
          <w:sz w:val="16"/>
          <w:szCs w:val="16"/>
        </w:rPr>
      </w:r>
      <w:r>
        <w:rPr>
          <w:rFonts w:asciiTheme="majorHAnsi" w:hAnsiTheme="majorHAnsi"/>
          <w:b/>
          <w:sz w:val="16"/>
          <w:szCs w:val="16"/>
        </w:rPr>
      </w:r>
    </w:p>
    <w:sectPr>
      <w:footnotePr/>
      <w:endnotePr/>
      <w:type w:val="nextPage"/>
      <w:pgSz w:h="16838" w:orient="portrait" w:w="11906"/>
      <w:pgMar w:top="454" w:right="1077" w:bottom="283" w:left="1077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</w:font>
  <w:font w:name="Calibri">
    <w:panose1 w:val="020F050202020403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36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20"/>
      </w:pPr>
      <w:rPr/>
      <w:start w:val="1"/>
      <w:suff w:val="tab"/>
    </w:lvl>
  </w:abstractNum>
  <w:abstractNum w:abstractNumId="1">
    <w:lvl w:ilvl="0">
      <w:isLgl w:val="false"/>
      <w:lvlJc w:val="left"/>
      <w:lvlText w:val="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">
    <w:lvl w:ilvl="0">
      <w:isLgl w:val="false"/>
      <w:lvlJc w:val="left"/>
      <w:lvlText w:val=""/>
      <w:numFmt w:val="bullet"/>
      <w:pPr>
        <w:pBdr/>
        <w:spacing/>
        <w:ind w:hanging="360" w:left="360"/>
      </w:pPr>
      <w:rPr>
        <w:rFonts w:hint="default" w:ascii="Wingdings" w:hAnsi="Wingdings"/>
        <w:color w:val="auto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08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180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52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24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396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468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40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120"/>
      </w:pPr>
      <w:rPr>
        <w:rFonts w:hint="default" w:ascii="Wingdings" w:hAnsi="Wingdings"/>
      </w:rPr>
      <w:start w:val="1"/>
      <w:suff w:val="tab"/>
    </w:lvl>
  </w:abstractNum>
  <w:abstractNum w:abstractNumId="3">
    <w:lvl w:ilvl="0">
      <w:isLgl w:val="false"/>
      <w:lvlJc w:val="left"/>
      <w:lvlText w:val=""/>
      <w:numFmt w:val="bullet"/>
      <w:pPr>
        <w:pBdr/>
        <w:spacing/>
        <w:ind w:hanging="360" w:left="360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08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180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52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24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396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468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40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120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"/>
      <w:numFmt w:val="bullet"/>
      <w:pPr>
        <w:pBdr/>
        <w:spacing/>
        <w:ind w:hanging="360" w:left="720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20"/>
      </w:pPr>
      <w:rPr/>
      <w:start w:val="1"/>
      <w:suff w:val="tab"/>
    </w:lvl>
  </w:abstractNum>
  <w:abstractNum w:abstractNumId="6">
    <w:lvl w:ilvl="0">
      <w:isLgl w:val="false"/>
      <w:lvlJc w:val="left"/>
      <w:lvlText w:val="%1"/>
      <w:numFmt w:val="ordinal"/>
      <w:pPr>
        <w:pBdr/>
        <w:spacing/>
        <w:ind w:hanging="360" w:left="360"/>
      </w:pPr>
      <w:rPr>
        <w:rFonts w:hint="default"/>
        <w:sz w:val="20"/>
        <w:szCs w:val="2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20"/>
      </w:pPr>
      <w:rPr/>
      <w:start w:val="1"/>
      <w:suff w:val="tab"/>
    </w:lvl>
  </w:abstractNum>
  <w:abstractNum w:abstractNumId="7">
    <w:lvl w:ilvl="0">
      <w:isLgl w:val="false"/>
      <w:lvlJc w:val="left"/>
      <w:lvlText w:val=""/>
      <w:numFmt w:val="bullet"/>
      <w:pPr>
        <w:pBdr/>
        <w:spacing/>
        <w:ind w:hanging="360" w:left="720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"/>
      <w:numFmt w:val="bullet"/>
      <w:pPr>
        <w:pBdr/>
        <w:spacing/>
        <w:ind w:hanging="360" w:left="720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</w:abstractNum>
  <w:abstractNum w:abstractNumId="10">
    <w:lvl w:ilvl="0">
      <w:isLgl w:val="false"/>
      <w:lvlJc w:val="left"/>
      <w:lvlText w:val=""/>
      <w:numFmt w:val="bullet"/>
      <w:pPr>
        <w:pBdr/>
        <w:tabs>
          <w:tab w:val="num" w:leader="none" w:pos="360"/>
        </w:tabs>
        <w:spacing/>
        <w:ind w:hanging="360" w:left="36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080"/>
        </w:tabs>
        <w:spacing/>
        <w:ind w:hanging="360" w:left="108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1800"/>
        </w:tabs>
        <w:spacing/>
        <w:ind w:hanging="360" w:left="180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520"/>
        </w:tabs>
        <w:spacing/>
        <w:ind w:hanging="360" w:left="252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240"/>
        </w:tabs>
        <w:spacing/>
        <w:ind w:hanging="360" w:left="324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3960"/>
        </w:tabs>
        <w:spacing/>
        <w:ind w:hanging="360" w:left="396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4680"/>
        </w:tabs>
        <w:spacing/>
        <w:ind w:hanging="360" w:left="468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400"/>
        </w:tabs>
        <w:spacing/>
        <w:ind w:hanging="360" w:left="540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120"/>
        </w:tabs>
        <w:spacing/>
        <w:ind w:hanging="360" w:left="6120"/>
      </w:pPr>
      <w:rPr>
        <w:rFonts w:hint="default" w:ascii="Wingdings" w:hAnsi="Wingdings"/>
        <w:sz w:val="20"/>
      </w:rPr>
      <w:start w:val="1"/>
      <w:suff w:val="tab"/>
    </w:lvl>
  </w:abstractNum>
  <w:abstractNum w:abstractNumId="11">
    <w:lvl w:ilvl="0">
      <w:isLgl w:val="false"/>
      <w:lvlJc w:val="left"/>
      <w:lvlText w:val=""/>
      <w:numFmt w:val="bullet"/>
      <w:pPr>
        <w:pBdr/>
        <w:spacing/>
        <w:ind w:hanging="360" w:left="720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→"/>
      <w:numFmt w:val="bullet"/>
      <w:pPr>
        <w:pBdr/>
        <w:spacing/>
        <w:ind w:hanging="360" w:left="360"/>
      </w:pPr>
      <w:rPr>
        <w:rFonts w:hint="default" w:ascii="Times New Roman" w:hAnsi="Times New Roman" w:cs="Times New Roman"/>
        <w:color w:val="auto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08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180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52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24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396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468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40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120"/>
      </w:pPr>
      <w:rPr>
        <w:rFonts w:hint="default"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14">
    <w:lvl w:ilvl="0">
      <w:isLgl w:val="false"/>
      <w:lvlJc w:val="left"/>
      <w:lvlText w:val=""/>
      <w:numFmt w:val="bullet"/>
      <w:pPr>
        <w:pBdr/>
        <w:tabs>
          <w:tab w:val="num" w:leader="none" w:pos="360"/>
        </w:tabs>
        <w:spacing/>
        <w:ind w:hanging="360" w:left="36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080"/>
        </w:tabs>
        <w:spacing/>
        <w:ind w:hanging="360" w:left="108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1800"/>
        </w:tabs>
        <w:spacing/>
        <w:ind w:hanging="360" w:left="180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520"/>
        </w:tabs>
        <w:spacing/>
        <w:ind w:hanging="360" w:left="252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240"/>
        </w:tabs>
        <w:spacing/>
        <w:ind w:hanging="360" w:left="324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3960"/>
        </w:tabs>
        <w:spacing/>
        <w:ind w:hanging="360" w:left="396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4680"/>
        </w:tabs>
        <w:spacing/>
        <w:ind w:hanging="360" w:left="468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400"/>
        </w:tabs>
        <w:spacing/>
        <w:ind w:hanging="360" w:left="540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120"/>
        </w:tabs>
        <w:spacing/>
        <w:ind w:hanging="360" w:left="6120"/>
      </w:pPr>
      <w:rPr>
        <w:rFonts w:hint="default" w:ascii="Wingdings" w:hAnsi="Wingdings"/>
        <w:sz w:val="20"/>
      </w:rPr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6">
    <w:lvl w:ilvl="0">
      <w:isLgl w:val="false"/>
      <w:lvlJc w:val="left"/>
      <w:lvlText w:val="%1."/>
      <w:numFmt w:val="lowerLetter"/>
      <w:pPr>
        <w:pBdr/>
        <w:spacing/>
        <w:ind w:hanging="360" w:left="106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8"/>
      </w:pPr>
      <w:rPr/>
      <w:start w:val="1"/>
      <w:suff w:val="tab"/>
    </w:lvl>
  </w:abstractNum>
  <w:abstractNum w:abstractNumId="17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8">
    <w:lvl w:ilvl="0">
      <w:isLgl w:val="false"/>
      <w:lvlJc w:val="left"/>
      <w:lvlText w:val=""/>
      <w:numFmt w:val="bullet"/>
      <w:pPr>
        <w:pBdr/>
        <w:spacing/>
        <w:ind w:hanging="360" w:left="144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6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8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60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2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4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6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8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200"/>
      </w:pPr>
      <w:rPr>
        <w:rFonts w:hint="default" w:ascii="Wingdings" w:hAnsi="Wingdings"/>
      </w:rPr>
      <w:start w:val="1"/>
      <w:suff w:val="tab"/>
    </w:lvl>
  </w:abstractNum>
  <w:abstractNum w:abstractNumId="19">
    <w:lvl w:ilvl="0">
      <w:isLgl w:val="false"/>
      <w:lvlJc w:val="left"/>
      <w:lvlText w:val=""/>
      <w:numFmt w:val="bullet"/>
      <w:pPr>
        <w:pBdr/>
        <w:spacing/>
        <w:ind w:hanging="360" w:left="144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6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8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60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2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4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6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8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200"/>
      </w:pPr>
      <w:rPr>
        <w:rFonts w:hint="default" w:ascii="Wingdings" w:hAnsi="Wingdings"/>
      </w:rPr>
      <w:start w:val="1"/>
      <w:suff w:val="tab"/>
    </w:lvl>
  </w:abstractNum>
  <w:abstractNum w:abstractNumId="20">
    <w:lvl w:ilvl="0">
      <w:isLgl w:val="false"/>
      <w:lvlJc w:val="left"/>
      <w:lvlText w:val=""/>
      <w:numFmt w:val="bullet"/>
      <w:pPr>
        <w:pBdr/>
        <w:spacing/>
        <w:ind w:hanging="360" w:left="144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6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8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60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2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4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6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8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200"/>
      </w:pPr>
      <w:rPr>
        <w:rFonts w:hint="default" w:ascii="Wingdings" w:hAnsi="Wingdings"/>
      </w:rPr>
      <w:start w:val="1"/>
      <w:suff w:val="tab"/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14"/>
  </w:num>
  <w:num w:numId="5">
    <w:abstractNumId w:val="9"/>
  </w:num>
  <w:num w:numId="6">
    <w:abstractNumId w:val="2"/>
  </w:num>
  <w:num w:numId="7">
    <w:abstractNumId w:val="0"/>
  </w:num>
  <w:num w:numId="8">
    <w:abstractNumId w:val="11"/>
  </w:num>
  <w:num w:numId="9">
    <w:abstractNumId w:val="12"/>
  </w:num>
  <w:num w:numId="10">
    <w:abstractNumId w:val="5"/>
  </w:num>
  <w:num w:numId="11">
    <w:abstractNumId w:val="6"/>
  </w:num>
  <w:num w:numId="12">
    <w:abstractNumId w:val="7"/>
  </w:num>
  <w:num w:numId="13">
    <w:abstractNumId w:val="3"/>
  </w:num>
  <w:num w:numId="14">
    <w:abstractNumId w:val="1"/>
  </w:num>
  <w:num w:numId="15">
    <w:abstractNumId w:val="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>
    <w:name w:val="Heading 1"/>
    <w:basedOn w:val="858"/>
    <w:next w:val="858"/>
    <w:link w:val="685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85">
    <w:name w:val="Heading 1 Char"/>
    <w:basedOn w:val="860"/>
    <w:link w:val="68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86">
    <w:name w:val="Heading 2 Char"/>
    <w:basedOn w:val="860"/>
    <w:link w:val="859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87">
    <w:name w:val="Heading 3"/>
    <w:basedOn w:val="858"/>
    <w:next w:val="858"/>
    <w:link w:val="68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88">
    <w:name w:val="Heading 3 Char"/>
    <w:basedOn w:val="860"/>
    <w:link w:val="68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89">
    <w:name w:val="Heading 4"/>
    <w:basedOn w:val="858"/>
    <w:next w:val="858"/>
    <w:link w:val="69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0">
    <w:name w:val="Heading 4 Char"/>
    <w:basedOn w:val="860"/>
    <w:link w:val="68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91">
    <w:name w:val="Heading 5"/>
    <w:basedOn w:val="858"/>
    <w:next w:val="858"/>
    <w:link w:val="69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2">
    <w:name w:val="Heading 5 Char"/>
    <w:basedOn w:val="860"/>
    <w:link w:val="69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93">
    <w:name w:val="Heading 6"/>
    <w:basedOn w:val="858"/>
    <w:next w:val="858"/>
    <w:link w:val="69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4">
    <w:name w:val="Heading 6 Char"/>
    <w:basedOn w:val="860"/>
    <w:link w:val="69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95">
    <w:name w:val="Heading 7"/>
    <w:basedOn w:val="858"/>
    <w:next w:val="858"/>
    <w:link w:val="69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6">
    <w:name w:val="Heading 7 Char"/>
    <w:basedOn w:val="860"/>
    <w:link w:val="69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7">
    <w:name w:val="Heading 8"/>
    <w:basedOn w:val="858"/>
    <w:next w:val="858"/>
    <w:link w:val="69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8">
    <w:name w:val="Heading 8 Char"/>
    <w:basedOn w:val="860"/>
    <w:link w:val="69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99">
    <w:name w:val="Heading 9"/>
    <w:basedOn w:val="858"/>
    <w:next w:val="858"/>
    <w:link w:val="70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0">
    <w:name w:val="Heading 9 Char"/>
    <w:basedOn w:val="860"/>
    <w:link w:val="69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01">
    <w:name w:val="No Spacing"/>
    <w:uiPriority w:val="1"/>
    <w:qFormat/>
    <w:pPr>
      <w:pBdr/>
      <w:spacing w:after="0" w:before="0" w:line="240" w:lineRule="auto"/>
      <w:ind/>
    </w:pPr>
  </w:style>
  <w:style w:type="paragraph" w:styleId="702">
    <w:name w:val="Title"/>
    <w:basedOn w:val="858"/>
    <w:next w:val="858"/>
    <w:link w:val="703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03">
    <w:name w:val="Title Char"/>
    <w:basedOn w:val="860"/>
    <w:link w:val="702"/>
    <w:uiPriority w:val="10"/>
    <w:pPr>
      <w:pBdr/>
      <w:spacing/>
      <w:ind/>
    </w:pPr>
    <w:rPr>
      <w:sz w:val="48"/>
      <w:szCs w:val="48"/>
    </w:rPr>
  </w:style>
  <w:style w:type="paragraph" w:styleId="704">
    <w:name w:val="Subtitle"/>
    <w:basedOn w:val="858"/>
    <w:next w:val="858"/>
    <w:link w:val="705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05">
    <w:name w:val="Subtitle Char"/>
    <w:basedOn w:val="860"/>
    <w:link w:val="704"/>
    <w:uiPriority w:val="11"/>
    <w:pPr>
      <w:pBdr/>
      <w:spacing/>
      <w:ind/>
    </w:pPr>
    <w:rPr>
      <w:sz w:val="24"/>
      <w:szCs w:val="24"/>
    </w:rPr>
  </w:style>
  <w:style w:type="paragraph" w:styleId="706">
    <w:name w:val="Quote"/>
    <w:basedOn w:val="858"/>
    <w:next w:val="858"/>
    <w:link w:val="707"/>
    <w:uiPriority w:val="29"/>
    <w:qFormat/>
    <w:pPr>
      <w:pBdr/>
      <w:spacing/>
      <w:ind w:right="720" w:left="720"/>
    </w:pPr>
    <w:rPr>
      <w:i/>
    </w:rPr>
  </w:style>
  <w:style w:type="character" w:styleId="707">
    <w:name w:val="Quote Char"/>
    <w:link w:val="706"/>
    <w:uiPriority w:val="29"/>
    <w:pPr>
      <w:pBdr/>
      <w:spacing/>
      <w:ind/>
    </w:pPr>
    <w:rPr>
      <w:i/>
    </w:rPr>
  </w:style>
  <w:style w:type="paragraph" w:styleId="708">
    <w:name w:val="Intense Quote"/>
    <w:basedOn w:val="858"/>
    <w:next w:val="858"/>
    <w:link w:val="70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09">
    <w:name w:val="Intense Quote Char"/>
    <w:link w:val="708"/>
    <w:uiPriority w:val="30"/>
    <w:pPr>
      <w:pBdr/>
      <w:spacing/>
      <w:ind/>
    </w:pPr>
    <w:rPr>
      <w:i/>
    </w:rPr>
  </w:style>
  <w:style w:type="paragraph" w:styleId="710">
    <w:name w:val="Header"/>
    <w:basedOn w:val="858"/>
    <w:link w:val="711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11">
    <w:name w:val="Header Char"/>
    <w:basedOn w:val="860"/>
    <w:link w:val="710"/>
    <w:uiPriority w:val="99"/>
    <w:pPr>
      <w:pBdr/>
      <w:spacing/>
      <w:ind/>
    </w:pPr>
  </w:style>
  <w:style w:type="paragraph" w:styleId="712">
    <w:name w:val="Footer"/>
    <w:basedOn w:val="858"/>
    <w:link w:val="71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13">
    <w:name w:val="Footer Char"/>
    <w:basedOn w:val="860"/>
    <w:link w:val="712"/>
    <w:uiPriority w:val="99"/>
    <w:pPr>
      <w:pBdr/>
      <w:spacing/>
      <w:ind/>
    </w:pPr>
  </w:style>
  <w:style w:type="paragraph" w:styleId="714">
    <w:name w:val="Caption"/>
    <w:basedOn w:val="858"/>
    <w:next w:val="858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15">
    <w:name w:val="Caption Char"/>
    <w:basedOn w:val="714"/>
    <w:link w:val="712"/>
    <w:uiPriority w:val="99"/>
    <w:pPr>
      <w:pBdr/>
      <w:spacing/>
      <w:ind/>
    </w:pPr>
  </w:style>
  <w:style w:type="table" w:styleId="716">
    <w:name w:val="Table Grid Light"/>
    <w:basedOn w:val="8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Plain Table 1"/>
    <w:basedOn w:val="8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Plain Table 2"/>
    <w:basedOn w:val="8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Plain Table 3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Plain Table 4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Plain Table 5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1 Light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1 Light - Accent 1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1 Light - Accent 2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1 Light - Accent 3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1 Light - Accent 4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1 Light - Accent 5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1 Light - Accent 6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2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2 - Accent 1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2 - Accent 2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2 - Accent 3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2 - Accent 4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2 - Accent 5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2 - Accent 6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3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3 - Accent 1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3 - Accent 2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3 - Accent 3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3 - Accent 4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3 - Accent 5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3 - Accent 6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4"/>
    <w:basedOn w:val="8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4 - Accent 1"/>
    <w:basedOn w:val="8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4 - Accent 2"/>
    <w:basedOn w:val="8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4 - Accent 3"/>
    <w:basedOn w:val="8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4 - Accent 4"/>
    <w:basedOn w:val="8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4 - Accent 5"/>
    <w:basedOn w:val="8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4 - Accent 6"/>
    <w:basedOn w:val="8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5 Dark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5 Dark- Accent 1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5 Dark - Accent 2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5 Dark - Accent 3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5 Dark- Accent 4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5 Dark - Accent 5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5 Dark - Accent 6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6 Colorful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6 Colorful - Accent 1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6 Colorful - Accent 2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6 Colorful - Accent 3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6 Colorful - Accent 4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6 Colorful - Accent 5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6 Colorful - Accent 6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7 Colorful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7 Colorful - Accent 1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7 Colorful - Accent 2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7 Colorful - Accent 3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7 Colorful - Accent 4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7 Colorful - Accent 5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7 Colorful - Accent 6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1 Light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1 Light - Accent 1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1 Light - Accent 2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1 Light - Accent 3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1 Light - Accent 4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1 Light - Accent 5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1 Light - Accent 6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2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2 - Accent 1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2 - Accent 2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2 - Accent 3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2 - Accent 4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2 - Accent 5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2 - Accent 6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3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3 - Accent 1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3 - Accent 2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3 - Accent 3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3 - Accent 4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3 - Accent 5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3 - Accent 6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4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4 - Accent 1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4 - Accent 2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4 - Accent 3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4 - Accent 4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4 - Accent 5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4 - Accent 6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5 Dark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5 Dark - Accent 1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5 Dark - Accent 2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5 Dark - Accent 3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5 Dark - Accent 4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5 Dark - Accent 5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5 Dark - Accent 6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6 Colorful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6 Colorful - Accent 1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6 Colorful - Accent 2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6 Colorful - Accent 3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6 Colorful - Accent 4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6 Colorful - Accent 5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6 Colorful - Accent 6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7 Colorful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7 Colorful - Accent 1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7 Colorful - Accent 2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7 Colorful - Accent 3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7 Colorful - Accent 4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7 Colorful - Accent 5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7 Colorful - Accent 6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ned - Accent"/>
    <w:basedOn w:val="8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ned - Accent 1"/>
    <w:basedOn w:val="8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ned - Accent 2"/>
    <w:basedOn w:val="8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ned - Accent 3"/>
    <w:basedOn w:val="8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ned - Accent 4"/>
    <w:basedOn w:val="8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ned - Accent 5"/>
    <w:basedOn w:val="8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ned - Accent 6"/>
    <w:basedOn w:val="8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&amp; Lined - Accent"/>
    <w:basedOn w:val="8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&amp; Lined - Accent 1"/>
    <w:basedOn w:val="8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&amp; Lined - Accent 2"/>
    <w:basedOn w:val="8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&amp; Lined - Accent 3"/>
    <w:basedOn w:val="8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&amp; Lined - Accent 4"/>
    <w:basedOn w:val="8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&amp; Lined - Accent 5"/>
    <w:basedOn w:val="8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&amp; Lined - Accent 6"/>
    <w:basedOn w:val="8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 - Accent 1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Bordered - Accent 2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Bordered - Accent 3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Bordered - Accent 4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Bordered - Accent 5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Bordered - Accent 6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41">
    <w:name w:val="footnote text"/>
    <w:basedOn w:val="858"/>
    <w:link w:val="842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42">
    <w:name w:val="Footnote Text Char"/>
    <w:link w:val="841"/>
    <w:uiPriority w:val="99"/>
    <w:pPr>
      <w:pBdr/>
      <w:spacing/>
      <w:ind/>
    </w:pPr>
    <w:rPr>
      <w:sz w:val="18"/>
    </w:rPr>
  </w:style>
  <w:style w:type="character" w:styleId="843">
    <w:name w:val="footnote reference"/>
    <w:basedOn w:val="860"/>
    <w:uiPriority w:val="99"/>
    <w:unhideWhenUsed/>
    <w:pPr>
      <w:pBdr/>
      <w:spacing/>
      <w:ind/>
    </w:pPr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45">
    <w:name w:val="Endnote Text Char"/>
    <w:link w:val="844"/>
    <w:uiPriority w:val="99"/>
    <w:pPr>
      <w:pBdr/>
      <w:spacing/>
      <w:ind/>
    </w:pPr>
    <w:rPr>
      <w:sz w:val="20"/>
    </w:rPr>
  </w:style>
  <w:style w:type="character" w:styleId="846">
    <w:name w:val="endnote reference"/>
    <w:basedOn w:val="860"/>
    <w:uiPriority w:val="99"/>
    <w:semiHidden/>
    <w:unhideWhenUsed/>
    <w:pPr>
      <w:pBdr/>
      <w:spacing/>
      <w:ind/>
    </w:pPr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pBdr/>
      <w:spacing w:after="57"/>
      <w:ind w:right="0" w:firstLine="0" w:left="0"/>
    </w:pPr>
  </w:style>
  <w:style w:type="paragraph" w:styleId="848">
    <w:name w:val="toc 2"/>
    <w:basedOn w:val="858"/>
    <w:next w:val="858"/>
    <w:uiPriority w:val="39"/>
    <w:unhideWhenUsed/>
    <w:pPr>
      <w:pBdr/>
      <w:spacing w:after="57"/>
      <w:ind w:right="0" w:firstLine="0" w:left="283"/>
    </w:pPr>
  </w:style>
  <w:style w:type="paragraph" w:styleId="849">
    <w:name w:val="toc 3"/>
    <w:basedOn w:val="858"/>
    <w:next w:val="858"/>
    <w:uiPriority w:val="39"/>
    <w:unhideWhenUsed/>
    <w:pPr>
      <w:pBdr/>
      <w:spacing w:after="57"/>
      <w:ind w:right="0" w:firstLine="0" w:left="567"/>
    </w:pPr>
  </w:style>
  <w:style w:type="paragraph" w:styleId="850">
    <w:name w:val="toc 4"/>
    <w:basedOn w:val="858"/>
    <w:next w:val="858"/>
    <w:uiPriority w:val="39"/>
    <w:unhideWhenUsed/>
    <w:pPr>
      <w:pBdr/>
      <w:spacing w:after="57"/>
      <w:ind w:right="0" w:firstLine="0" w:left="850"/>
    </w:pPr>
  </w:style>
  <w:style w:type="paragraph" w:styleId="851">
    <w:name w:val="toc 5"/>
    <w:basedOn w:val="858"/>
    <w:next w:val="858"/>
    <w:uiPriority w:val="39"/>
    <w:unhideWhenUsed/>
    <w:pPr>
      <w:pBdr/>
      <w:spacing w:after="57"/>
      <w:ind w:right="0" w:firstLine="0" w:left="1134"/>
    </w:pPr>
  </w:style>
  <w:style w:type="paragraph" w:styleId="852">
    <w:name w:val="toc 6"/>
    <w:basedOn w:val="858"/>
    <w:next w:val="858"/>
    <w:uiPriority w:val="39"/>
    <w:unhideWhenUsed/>
    <w:pPr>
      <w:pBdr/>
      <w:spacing w:after="57"/>
      <w:ind w:right="0" w:firstLine="0" w:left="1417"/>
    </w:pPr>
  </w:style>
  <w:style w:type="paragraph" w:styleId="853">
    <w:name w:val="toc 7"/>
    <w:basedOn w:val="858"/>
    <w:next w:val="858"/>
    <w:uiPriority w:val="39"/>
    <w:unhideWhenUsed/>
    <w:pPr>
      <w:pBdr/>
      <w:spacing w:after="57"/>
      <w:ind w:right="0" w:firstLine="0" w:left="1701"/>
    </w:pPr>
  </w:style>
  <w:style w:type="paragraph" w:styleId="854">
    <w:name w:val="toc 8"/>
    <w:basedOn w:val="858"/>
    <w:next w:val="858"/>
    <w:uiPriority w:val="39"/>
    <w:unhideWhenUsed/>
    <w:pPr>
      <w:pBdr/>
      <w:spacing w:after="57"/>
      <w:ind w:right="0" w:firstLine="0" w:left="1984"/>
    </w:pPr>
  </w:style>
  <w:style w:type="paragraph" w:styleId="855">
    <w:name w:val="toc 9"/>
    <w:basedOn w:val="858"/>
    <w:next w:val="858"/>
    <w:uiPriority w:val="39"/>
    <w:unhideWhenUsed/>
    <w:pPr>
      <w:pBdr/>
      <w:spacing w:after="57"/>
      <w:ind w:right="0" w:firstLine="0" w:left="2268"/>
    </w:pPr>
  </w:style>
  <w:style w:type="paragraph" w:styleId="856">
    <w:name w:val="TOC Heading"/>
    <w:uiPriority w:val="39"/>
    <w:unhideWhenUsed/>
    <w:pPr>
      <w:pBdr/>
      <w:spacing/>
      <w:ind/>
    </w:pPr>
  </w:style>
  <w:style w:type="paragraph" w:styleId="857">
    <w:name w:val="table of figures"/>
    <w:basedOn w:val="858"/>
    <w:next w:val="858"/>
    <w:uiPriority w:val="99"/>
    <w:unhideWhenUsed/>
    <w:pPr>
      <w:pBdr/>
      <w:spacing w:after="0" w:afterAutospacing="0"/>
      <w:ind/>
    </w:pPr>
  </w:style>
  <w:style w:type="paragraph" w:styleId="858" w:default="1">
    <w:name w:val="Normal"/>
    <w:qFormat/>
    <w:pPr>
      <w:pBdr/>
      <w:spacing/>
      <w:ind/>
    </w:pPr>
  </w:style>
  <w:style w:type="paragraph" w:styleId="859">
    <w:name w:val="Heading 2"/>
    <w:basedOn w:val="858"/>
    <w:link w:val="863"/>
    <w:uiPriority w:val="9"/>
    <w:qFormat/>
    <w:pPr>
      <w:pBdr/>
      <w:spacing w:after="100" w:afterAutospacing="1" w:before="100" w:beforeAutospacing="1" w:line="240" w:lineRule="auto"/>
      <w:ind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860" w:default="1">
    <w:name w:val="Default Paragraph Font"/>
    <w:uiPriority w:val="1"/>
    <w:semiHidden/>
    <w:unhideWhenUsed/>
    <w:pPr>
      <w:pBdr/>
      <w:spacing/>
      <w:ind/>
    </w:pPr>
  </w:style>
  <w:style w:type="table" w:styleId="86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62" w:default="1">
    <w:name w:val="No List"/>
    <w:uiPriority w:val="99"/>
    <w:semiHidden/>
    <w:unhideWhenUsed/>
    <w:pPr>
      <w:pBdr/>
      <w:spacing/>
      <w:ind/>
    </w:pPr>
  </w:style>
  <w:style w:type="character" w:styleId="863" w:customStyle="1">
    <w:name w:val="Nagłówek 2 Znak"/>
    <w:basedOn w:val="860"/>
    <w:link w:val="859"/>
    <w:uiPriority w:val="9"/>
    <w:pPr>
      <w:pBdr/>
      <w:spacing/>
      <w:ind/>
    </w:pPr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864">
    <w:name w:val="Hyperlink"/>
    <w:basedOn w:val="860"/>
    <w:uiPriority w:val="99"/>
    <w:unhideWhenUsed/>
    <w:pPr>
      <w:pBdr/>
      <w:spacing/>
      <w:ind/>
    </w:pPr>
    <w:rPr>
      <w:color w:val="0000ff"/>
      <w:u w:val="single"/>
    </w:rPr>
  </w:style>
  <w:style w:type="paragraph" w:styleId="865">
    <w:name w:val="Normal (Web)"/>
    <w:basedOn w:val="858"/>
    <w:uiPriority w:val="99"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866">
    <w:name w:val="Strong"/>
    <w:basedOn w:val="860"/>
    <w:uiPriority w:val="22"/>
    <w:qFormat/>
    <w:pPr>
      <w:pBdr/>
      <w:spacing/>
      <w:ind/>
    </w:pPr>
    <w:rPr>
      <w:b/>
      <w:bCs/>
    </w:rPr>
  </w:style>
  <w:style w:type="paragraph" w:styleId="867">
    <w:name w:val="Balloon Text"/>
    <w:basedOn w:val="858"/>
    <w:link w:val="868"/>
    <w:uiPriority w:val="99"/>
    <w:semiHidden/>
    <w:unhideWhenUsed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character" w:styleId="868" w:customStyle="1">
    <w:name w:val="Tekst dymka Znak"/>
    <w:basedOn w:val="860"/>
    <w:link w:val="867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69">
    <w:name w:val="Table Grid"/>
    <w:basedOn w:val="861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70">
    <w:name w:val="List Paragraph"/>
    <w:basedOn w:val="858"/>
    <w:uiPriority w:val="34"/>
    <w:qFormat/>
    <w:pPr>
      <w:pBdr/>
      <w:spacing/>
      <w:ind w:left="720"/>
      <w:contextualSpacing w:val="true"/>
    </w:pPr>
  </w:style>
  <w:style w:type="character" w:styleId="871">
    <w:name w:val="FollowedHyperlink"/>
    <w:basedOn w:val="860"/>
    <w:uiPriority w:val="99"/>
    <w:semiHidden/>
    <w:unhideWhenUsed/>
    <w:pPr>
      <w:pBdr/>
      <w:spacing/>
      <w:ind/>
    </w:pPr>
    <w:rPr>
      <w:color w:val="800080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%20%20%20https:/tiny.pl/9kcwl" TargetMode="External"/><Relationship Id="rId11" Type="http://schemas.openxmlformats.org/officeDocument/2006/relationships/hyperlink" Target="http://www.odn-grudziadz.ehost.pl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Odn-Dyrektor</dc:creator>
  <cp:revision>39</cp:revision>
  <dcterms:created xsi:type="dcterms:W3CDTF">2019-08-26T08:48:00Z</dcterms:created>
  <dcterms:modified xsi:type="dcterms:W3CDTF">2025-01-29T12:57:14Z</dcterms:modified>
</cp:coreProperties>
</file>