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pPr w:horzAnchor="margin" w:tblpXSpec="center" w:vertAnchor="text" w:tblpY="-176" w:leftFromText="141" w:topFromText="0" w:rightFromText="141" w:bottomFromText="0"/>
        <w:tblW w:w="9381" w:type="dxa"/>
        <w:tblBorders/>
        <w:tblLayout w:type="fixed"/>
        <w:tblLook w:val="01E0" w:firstRow="1" w:lastRow="1" w:firstColumn="1" w:lastColumn="1" w:noHBand="0" w:noVBand="0"/>
      </w:tblPr>
      <w:tblGrid>
        <w:gridCol w:w="1809"/>
        <w:gridCol w:w="7572"/>
      </w:tblGrid>
      <w:tr>
        <w:trPr>
          <w:trHeight w:val="992"/>
        </w:trPr>
        <w:tc>
          <w:tcPr>
            <w:tcBorders/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Calibri" w:hAnsi="Calibri" w:eastAsia="Times New Roman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eastAsia="pl-P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71550" cy="609600"/>
                      <wp:effectExtent l="19050" t="0" r="0" b="0"/>
                      <wp:docPr id="1" name="Obraz 8" descr="C:\Users\Odn-Dyrektor\Desktop\M.C\LOGO\Logo odn i cku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8" descr="C:\Users\Odn-Dyrektor\Desktop\M.C\LOGO\Logo odn i cku.t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15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76.50pt;height:48.00pt;mso-wrap-distance-left:0.00pt;mso-wrap-distance-top:0.00pt;mso-wrap-distance-right:0.00pt;mso-wrap-distance-bottom:0.00pt;z-index:1;" stroked="f" strokeweight="0.75pt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" w:hAnsi="Calibri" w:eastAsia="Times New Roman" w:cs="Times New Roman"/>
                <w:color w:val="5a5a5a"/>
                <w:sz w:val="12"/>
                <w:szCs w:val="12"/>
                <w:lang w:bidi="en-US"/>
              </w:rPr>
            </w:r>
            <w:r>
              <w:rPr>
                <w:rFonts w:ascii="Calibri" w:hAnsi="Calibri" w:eastAsia="Times New Roman" w:cs="Times New Roman"/>
                <w:color w:val="5a5a5a"/>
                <w:sz w:val="12"/>
                <w:szCs w:val="12"/>
                <w:lang w:bidi="en-US"/>
              </w:rPr>
            </w:r>
          </w:p>
        </w:tc>
        <w:tc>
          <w:tcPr>
            <w:tcBorders/>
            <w:tcW w:w="7572" w:type="dxa"/>
            <w:textDirection w:val="lrTb"/>
            <w:noWrap w:val="false"/>
          </w:tcPr>
          <w:p>
            <w:pPr>
              <w:pBdr>
                <w:bottom w:val="single" w:color="938953" w:sz="8" w:space="1"/>
              </w:pBdr>
              <w:spacing w:after="0"/>
              <w:ind w:left="-288"/>
              <w:contextualSpacing w:val="true"/>
              <w:jc w:val="center"/>
              <w:outlineLvl w:val="6"/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 xml:space="preserve">CENTRUM KSZTAŁCENIA USTAWICZNEGO</w:t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contextualSpacing w:val="true"/>
              <w:jc w:val="right"/>
              <w:outlineLvl w:val="7"/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 xml:space="preserve">OŚRODEK DOSKONALENIA I DORADZTWA ZAWODOWEGO NAUCZYCIELI</w:t>
            </w: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r>
          </w:p>
          <w:p>
            <w:pPr>
              <w:pBdr/>
              <w:spacing w:after="0" w:line="240" w:lineRule="auto"/>
              <w:ind w:left="2160"/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</w: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  <w:t xml:space="preserve">tel. 56 45 136 31, 724 450 342, 603 260 303 fax.  56 45 136 32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  <w:t xml:space="preserve">e-mail: sekretariat@odn-grudziadz.edu.pl      www.odn-grudziadz.edu.pl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bidi="en-US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bidi="en-US"/>
              </w:rPr>
            </w:r>
          </w:p>
        </w:tc>
      </w:tr>
      <w:tr>
        <w:trPr>
          <w:trHeight w:val="421"/>
        </w:trPr>
        <w:tc>
          <w:tcPr>
            <w:tcBorders/>
            <w:tcW w:w="180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left="-108"/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pP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r>
          </w:p>
        </w:tc>
        <w:tc>
          <w:tcPr>
            <w:tcBorders/>
            <w:tcW w:w="7572" w:type="dxa"/>
            <w:vAlign w:val="center"/>
            <w:textDirection w:val="lrTb"/>
            <w:noWrap w:val="false"/>
          </w:tcPr>
          <w:p>
            <w:pPr>
              <w:pBdr>
                <w:bottom w:val="single" w:color="938953" w:sz="8" w:space="1"/>
              </w:pBdr>
              <w:spacing w:after="0" w:line="240" w:lineRule="auto"/>
              <w:ind/>
              <w:contextualSpacing w:val="true"/>
              <w:jc w:val="center"/>
              <w:outlineLvl w:val="6"/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 xml:space="preserve">AKREDYTOWANA PLACÓWKA DOSKONALENIA NAUCZYCIELI</w:t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r>
          </w:p>
        </w:tc>
      </w:tr>
    </w:tbl>
    <w:p>
      <w:pPr>
        <w:pBdr/>
        <w:spacing w:after="0" w:line="240" w:lineRule="auto"/>
        <w:ind/>
        <w:rPr>
          <w:rFonts w:asciiTheme="majorHAnsi" w:hAnsiTheme="majorHAnsi" w:cstheme="minorHAnsi"/>
          <w:b/>
          <w:sz w:val="2"/>
          <w:szCs w:val="2"/>
        </w:rPr>
      </w:pPr>
      <w:r>
        <w:rPr>
          <w:rFonts w:asciiTheme="majorHAnsi" w:hAnsiTheme="majorHAnsi" w:cstheme="minorHAnsi"/>
          <w:b/>
          <w:sz w:val="2"/>
          <w:szCs w:val="2"/>
        </w:rPr>
      </w:r>
      <w:r>
        <w:rPr>
          <w:rFonts w:asciiTheme="majorHAnsi" w:hAnsiTheme="majorHAnsi" w:cstheme="minorHAnsi"/>
          <w:b/>
          <w:sz w:val="2"/>
          <w:szCs w:val="2"/>
        </w:rPr>
      </w:r>
      <w:r>
        <w:rPr>
          <w:rFonts w:asciiTheme="majorHAnsi" w:hAnsiTheme="majorHAnsi" w:cstheme="minorHAnsi"/>
          <w:b/>
          <w:sz w:val="2"/>
          <w:szCs w:val="2"/>
        </w:rPr>
      </w:r>
    </w:p>
    <w:tbl>
      <w:tblPr>
        <w:tblStyle w:val="881"/>
        <w:tblpPr w:horzAnchor="margin" w:tblpX="-170" w:vertAnchor="text" w:tblpY="506" w:leftFromText="141" w:topFromText="0" w:rightFromText="141" w:bottomFromText="0"/>
        <w:tblW w:w="10058" w:type="dxa"/>
        <w:tblBorders/>
        <w:tblLayout w:type="fixed"/>
        <w:tblLook w:val="04A0" w:firstRow="1" w:lastRow="0" w:firstColumn="1" w:lastColumn="0" w:noHBand="0" w:noVBand="1"/>
      </w:tblPr>
      <w:tblGrid>
        <w:gridCol w:w="170"/>
        <w:gridCol w:w="1384"/>
        <w:gridCol w:w="1190"/>
        <w:gridCol w:w="4055"/>
        <w:gridCol w:w="3118"/>
        <w:gridCol w:w="141"/>
      </w:tblGrid>
      <w:tr>
        <w:trPr/>
        <w:tc>
          <w:tcPr>
            <w:gridSpan w:val="6"/>
            <w:tcBorders/>
            <w:tcW w:w="1005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Podstawy pomiaru dydaktycznego oraz konstruowania i ewaluacji testu dydaktycznego</w:t>
            </w: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Forma: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17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S</w:t>
            </w:r>
            <w:r>
              <w:rPr>
                <w:rFonts w:cstheme="minorHAnsi"/>
              </w:rPr>
              <w:t xml:space="preserve">zkolenie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Oferta przeznaczona dla: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173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pBdr/>
              <w:spacing w:after="60" w:before="60"/>
              <w:ind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dyrektorów, wicedyrektorów i nauczycieli szkół podstawowych </w:t>
              <w:br/>
              <w:t xml:space="preserve">i ponadpodstawowych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Planowany t</w:t>
            </w:r>
            <w:r>
              <w:rPr>
                <w:rFonts w:cstheme="minorHAnsi"/>
                <w:b/>
              </w:rPr>
              <w:t xml:space="preserve">ermin</w:t>
            </w:r>
            <w:r>
              <w:rPr>
                <w:rFonts w:cstheme="minorHAnsi"/>
                <w:b/>
              </w:rPr>
              <w:t xml:space="preserve"> rozpoczęcia</w:t>
            </w:r>
            <w:r>
              <w:rPr>
                <w:rFonts w:cstheme="minorHAnsi"/>
                <w:b/>
              </w:rPr>
              <w:t xml:space="preserve">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tcBorders/>
            <w:tcW w:w="4055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12 marca</w:t>
            </w:r>
            <w:r>
              <w:rPr>
                <w:rFonts w:cstheme="minorHAnsi"/>
                <w:b/>
                <w:bCs/>
              </w:rPr>
              <w:t xml:space="preserve"> 202</w:t>
            </w:r>
            <w:r>
              <w:rPr>
                <w:rFonts w:cstheme="minorHAnsi"/>
                <w:b/>
                <w:bCs/>
              </w:rPr>
              <w:t xml:space="preserve">5 roku, godz. 16</w:t>
            </w:r>
            <w:r>
              <w:rPr>
                <w:rFonts w:cstheme="minorHAnsi"/>
                <w:b/>
                <w:bCs/>
              </w:rPr>
              <w:t xml:space="preserve">.00</w: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</w:r>
          </w:p>
        </w:tc>
        <w:tc>
          <w:tcPr>
            <w:shd w:val="clear" w:color="auto" w:fill="ffff99"/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ZAPISY DO:  </w:t>
            </w:r>
            <w:r>
              <w:rPr>
                <w:rFonts w:cstheme="minorHAnsi"/>
                <w:b/>
              </w:rPr>
              <w:t xml:space="preserve">7.03.2025</w:t>
            </w:r>
            <w:r>
              <w:rPr>
                <w:rFonts w:cstheme="minorHAnsi"/>
                <w:b/>
              </w:rPr>
              <w:t xml:space="preserve"> r.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Liczba godzin: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17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</w:t>
            </w:r>
            <w:r>
              <w:rPr>
                <w:rFonts w:cstheme="minorHAnsi"/>
                <w:b/>
              </w:rPr>
              <w:t xml:space="preserve"> godzin</w:t>
            </w:r>
            <w:r>
              <w:rPr>
                <w:rFonts w:cstheme="minorHAnsi"/>
                <w:b/>
              </w:rPr>
              <w:t xml:space="preserve">y</w:t>
            </w:r>
            <w:r>
              <w:rPr>
                <w:rFonts w:cstheme="minorHAnsi"/>
                <w:b/>
              </w:rPr>
              <w:t xml:space="preserve"> dydaktyczn</w:t>
            </w:r>
            <w:r>
              <w:rPr>
                <w:rFonts w:cstheme="minorHAnsi"/>
                <w:b/>
              </w:rPr>
              <w:t xml:space="preserve">e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Odpłatność: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17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9</w:t>
            </w:r>
            <w:r>
              <w:rPr>
                <w:rFonts w:cstheme="minorHAnsi"/>
                <w:b/>
              </w:rPr>
              <w:t xml:space="preserve">0 zł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17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Centrum Kształcenia Ustawicznego Ośrodek Doskonalenia i Doradztwa Zawodowego Nauczycieli w Grudziądzu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  <w:trHeight w:val="102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tematyczny: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Właściwości pomiaru dydaktycznego (obiektywizm, trafność, rzetelność, obiektywizm punktowania, niezależność sytuacji pomiarowej)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Rodzaje i cechy pomiaru dydaktycznego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7"/>
              </w:numPr>
              <w:pBdr/>
              <w:spacing/>
              <w:ind w:left="7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Pomiar sprawdzający 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7"/>
              </w:numPr>
              <w:pBdr/>
              <w:spacing/>
              <w:ind w:left="7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Pomiar różnicujący 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Test jako podstawowe narzędzie pomiaru dydaktycznego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Wymagania stawiane testom dydaktycznym (obiektywność, rzetelność, trafność testu, niezawodność, czułość, diagnostyczność, prognostyczność, standaryzacja,  normalizacja, użyteczność)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Rodzaje i charakterystyka zadań testowych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8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Konstruowanie zadań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8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Opracowanie modelu poprawnych odpowiedzi (klucz i arkusz odpowiedzi).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Analiza i wartościowanie zadań testu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9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Procedura jakościowa (poprawność dydaktyczna, rzetelność zadania testowego, stosowność zadania testowego)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9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Procedura ilościowa (frakcja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opuszczeń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, łatwość zadania testowego, moc różnicująca zadania)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Wyliczenie podstawowych parametrów statystycznych testu 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20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miar tendencji centralnej - średnia arytmetyczna, modalna, mediana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20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miar rozproszenia/rozrzutu -  rozstęp, wariancja, odchylenie standardowe 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Ćwiczenia 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21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Wnioskowanie o rozwoju ucznia lub szkoły na podstawie wyników diagnozy zewnętrznej przy zastosowaniu znormalizowanej skali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staninowej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21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Obliczanie wskaźnika rzetelności testu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21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Wyliczanie podstawowych parametrów statystycznych testu i zdań testowych 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21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Wybór, konstruowanie lub weryfikowanie zadań testowych 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21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Formułowanie wniosków do pracy dydaktycznej z uczniem, klasą na podstawie wyników testu 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Prowadzący: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Bylicki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pracownik nadzoru pedagogicznego, st. wizytator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Kierownik szkolenia: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 Żurawski</w:t>
            </w:r>
            <w:r>
              <w:rPr>
                <w:rFonts w:cstheme="minorHAnsi"/>
              </w:rPr>
              <w:t xml:space="preserve"> – doradca metodyczny </w:t>
            </w:r>
            <w:r>
              <w:rPr>
                <w:rFonts w:cstheme="minorHAnsi"/>
              </w:rPr>
              <w:t xml:space="preserve">CKU-</w:t>
            </w:r>
            <w:r>
              <w:rPr>
                <w:rFonts w:cstheme="minorHAnsi"/>
              </w:rPr>
              <w:t xml:space="preserve">ODiDZN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Tel</w:t>
            </w:r>
            <w:r>
              <w:rPr>
                <w:rFonts w:cstheme="minorHAnsi"/>
              </w:rPr>
              <w:t xml:space="preserve">.</w:t>
            </w:r>
            <w:r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 xml:space="preserve">697 740 028</w:t>
            </w:r>
            <w:r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     e-mail:  kzurawski</w:t>
            </w:r>
            <w:r>
              <w:rPr>
                <w:rFonts w:cstheme="minorHAnsi"/>
              </w:rPr>
              <w:t xml:space="preserve">@odn-grudziadz.edu.pl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Organizacja: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24"/>
              </w:numPr>
              <w:pBdr/>
              <w:spacing/>
              <w:ind/>
              <w:rPr>
                <w:color w:val="0070c0"/>
                <w:highlight w:val="white"/>
              </w:rPr>
            </w:pPr>
            <w:r>
              <w:rPr>
                <w:rFonts w:cstheme="minorHAnsi"/>
              </w:rPr>
              <w:t xml:space="preserve">W celu potwierdzenia swojego uczestnictwa w </w:t>
            </w:r>
            <w:r>
              <w:rPr>
                <w:rFonts w:cstheme="minorHAnsi"/>
              </w:rPr>
              <w:t xml:space="preserve">szkoleniu</w:t>
            </w:r>
            <w:r>
              <w:rPr>
                <w:rFonts w:cstheme="minorHAnsi"/>
              </w:rPr>
              <w:t xml:space="preserve"> należy wypełnić i przesłać </w:t>
            </w:r>
            <w:r>
              <w:rPr>
                <w:rFonts w:cstheme="minorHAnsi"/>
                <w:i/>
              </w:rPr>
              <w:t xml:space="preserve">Kartę zgłoszenia</w:t>
            </w:r>
            <w:r>
              <w:rPr>
                <w:rFonts w:cstheme="minorHAnsi"/>
              </w:rPr>
              <w:t xml:space="preserve">  - link do Karty </w:t>
            </w:r>
            <w:r>
              <w:rPr>
                <w:rFonts w:ascii="Times New Roman" w:hAnsi="Times New Roman" w:eastAsia="Times New Roman" w:cs="Times New Roman"/>
                <w:b/>
                <w:color w:val="339966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color w:val="0070c0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70c0"/>
                <w:sz w:val="22"/>
                <w:highlight w:val="white"/>
              </w:rPr>
              <w:t xml:space="preserve"> </w:t>
            </w:r>
            <w:hyperlink r:id="rId10" w:tooltip="https://forms.gle/RiaqdbziUb5w19mGA" w:history="1">
              <w:r>
                <w:rPr>
                  <w:rStyle w:val="876"/>
                  <w:rFonts w:ascii="Times New Roman" w:hAnsi="Times New Roman" w:eastAsia="Times New Roman" w:cs="Times New Roman"/>
                  <w:color w:val="0070c0"/>
                  <w:sz w:val="22"/>
                  <w:highlight w:val="white"/>
                  <w:u w:val="none"/>
                </w:rPr>
                <w:t xml:space="preserve">https://forms.gle/RiaqdbziUb5w19mGA</w:t>
              </w:r>
            </w:hyperlink>
            <w:r>
              <w:rPr>
                <w:color w:val="0070c0"/>
                <w:highlight w:val="white"/>
              </w:rPr>
            </w:r>
            <w:r>
              <w:rPr>
                <w:color w:val="0070c0"/>
                <w:highlight w:val="white"/>
              </w:rPr>
            </w:r>
          </w:p>
          <w:p>
            <w:pPr>
              <w:pStyle w:val="882"/>
              <w:pBdr/>
              <w:spacing w:after="60"/>
              <w:ind w:left="3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Kartę zgłoszenia można również pobrać ze strony Ośrodka </w:t>
            </w:r>
            <w:hyperlink r:id="rId11" w:tooltip="http://www.odn-grudziadz.ehost.pl/" w:history="1">
              <w:r>
                <w:rPr>
                  <w:rStyle w:val="876"/>
                  <w:rFonts w:cstheme="minorHAnsi"/>
                  <w:color w:val="0070c0"/>
                </w:rPr>
                <w:t xml:space="preserve">http://www.odn-grudziadz.ehost.pl/</w:t>
              </w:r>
            </w:hyperlink>
            <w:r>
              <w:rPr>
                <w:rFonts w:cstheme="minorHAnsi"/>
              </w:rPr>
              <w:t xml:space="preserve"> w zakładce </w:t>
            </w:r>
            <w:r>
              <w:rPr>
                <w:rFonts w:cstheme="minorHAnsi"/>
                <w:i/>
              </w:rPr>
              <w:t xml:space="preserve">Zapis elektroniczny </w:t>
            </w:r>
            <w:r>
              <w:rPr>
                <w:rFonts w:cstheme="minorHAnsi"/>
              </w:rPr>
              <w:t xml:space="preserve">lub </w:t>
            </w:r>
            <w:r>
              <w:rPr>
                <w:rFonts w:cstheme="minorHAnsi"/>
                <w:i/>
              </w:rPr>
              <w:t xml:space="preserve">Zgłoszenia </w:t>
            </w:r>
            <w:r>
              <w:rPr>
                <w:rFonts w:ascii="Wingdings" w:hAnsi="Wingdings" w:eastAsia="Wingdings" w:cs="Wingdings"/>
              </w:rPr>
              <w:t xml:space="preserve">à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Pobieralnia</w:t>
            </w:r>
            <w:r>
              <w:rPr>
                <w:rFonts w:cstheme="minorHAnsi"/>
                <w:i/>
              </w:rPr>
            </w:r>
            <w:r>
              <w:rPr>
                <w:rFonts w:cstheme="minorHAnsi"/>
                <w:i/>
              </w:rPr>
            </w:r>
          </w:p>
          <w:p>
            <w:pPr>
              <w:pStyle w:val="882"/>
              <w:numPr>
                <w:ilvl w:val="0"/>
                <w:numId w:val="22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Na </w:t>
            </w:r>
            <w:r>
              <w:rPr>
                <w:rFonts w:cstheme="minorHAnsi"/>
                <w:bCs/>
                <w:i/>
              </w:rPr>
              <w:t xml:space="preserve">Karcie zgłoszenia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/>
              </w:rPr>
              <w:t xml:space="preserve">konieczne jest</w:t>
            </w:r>
            <w:r>
              <w:rPr>
                <w:rFonts w:cstheme="minorHAnsi"/>
                <w:bCs/>
              </w:rPr>
              <w:t xml:space="preserve"> podanie adresata faktury:</w: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</w:r>
          </w:p>
          <w:p>
            <w:pPr>
              <w:pStyle w:val="882"/>
              <w:numPr>
                <w:ilvl w:val="0"/>
                <w:numId w:val="23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przypadku, gdy płatnikiem jest osoba uczestnicząca w szkoleniu należy podać dane tej osoby (imię i nazwisko, adres zamieszkania).</w: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</w:r>
          </w:p>
          <w:p>
            <w:pPr>
              <w:pStyle w:val="882"/>
              <w:numPr>
                <w:ilvl w:val="0"/>
                <w:numId w:val="23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przypadku, gdy płatnikiem jest instytucja (szkoła/placówka) należy podać dane dotyczące Nabywcy i Odbiorcy</w:t>
            </w:r>
            <w:r>
              <w:rPr>
                <w:rFonts w:cstheme="minorHAnsi"/>
                <w:bCs/>
              </w:rPr>
              <w:t xml:space="preserve">.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</w:r>
          </w:p>
          <w:p>
            <w:pPr>
              <w:pStyle w:val="882"/>
              <w:numPr>
                <w:ilvl w:val="0"/>
                <w:numId w:val="22"/>
              </w:numPr>
              <w:pBdr/>
              <w:spacing w:after="20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Dane na zaświadczeniu generowane są na podstawie Karty zgłoszenia.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82"/>
              <w:numPr>
                <w:ilvl w:val="0"/>
                <w:numId w:val="22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Warunek odbycia szkolenia – minimum 1</w:t>
            </w:r>
            <w:r>
              <w:rPr>
                <w:rFonts w:cstheme="minorHAnsi"/>
              </w:rPr>
              <w:t xml:space="preserve">6</w:t>
            </w:r>
            <w:r>
              <w:rPr>
                <w:rFonts w:cstheme="minorHAnsi"/>
              </w:rPr>
              <w:t xml:space="preserve"> osób.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82"/>
              <w:numPr>
                <w:ilvl w:val="0"/>
                <w:numId w:val="22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Uczestnicy przed szkoleniem otrzymają, na wskazany w karcie zgłoszenia </w:t>
            </w:r>
            <w:r>
              <w:rPr>
                <w:rFonts w:cstheme="minorHAnsi"/>
              </w:rPr>
              <w:t xml:space="preserve">numer telefonu/</w:t>
            </w:r>
            <w:r>
              <w:rPr>
                <w:rFonts w:cstheme="minorHAnsi"/>
              </w:rPr>
              <w:t xml:space="preserve">adres email, informację o zakwalifikowaniu się na szkolenie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pStyle w:val="882"/>
              <w:numPr>
                <w:ilvl w:val="0"/>
                <w:numId w:val="22"/>
              </w:numPr>
              <w:pBdr/>
              <w:spacing w:after="60"/>
              <w:ind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Opłatę za szkolenie proszę dokonać po uzyskaniu informacji </w:t>
            </w:r>
            <w:r>
              <w:rPr>
                <w:rFonts w:cstheme="minorHAnsi"/>
                <w:bCs/>
              </w:rPr>
              <w:br/>
              <w:t xml:space="preserve">o zakwalifikowaniu się na szkolenie.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</w:r>
      <w:r>
        <w:rPr>
          <w:rFonts w:asciiTheme="majorHAnsi" w:hAnsiTheme="majorHAnsi"/>
          <w:b/>
          <w:sz w:val="16"/>
          <w:szCs w:val="16"/>
        </w:rPr>
      </w:r>
      <w:r>
        <w:rPr>
          <w:rFonts w:asciiTheme="majorHAnsi" w:hAnsiTheme="majorHAnsi"/>
          <w:b/>
          <w:sz w:val="16"/>
          <w:szCs w:val="16"/>
        </w:rPr>
      </w:r>
    </w:p>
    <w:sectPr>
      <w:footnotePr/>
      <w:endnotePr/>
      <w:type w:val="nextPage"/>
      <w:pgSz w:h="16838" w:orient="portrait" w:w="11906"/>
      <w:pgMar w:top="454" w:right="1077" w:bottom="283" w:left="107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">
    <w:lvl w:ilvl="0">
      <w:isLgl w:val="false"/>
      <w:lvlJc w:val="left"/>
      <w:lvlText w:val="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"/>
      <w:numFmt w:val="bullet"/>
      <w:pPr>
        <w:pBdr/>
        <w:spacing/>
        <w:ind w:hanging="360" w:left="360"/>
      </w:pPr>
      <w:rPr>
        <w:rFonts w:hint="default" w:ascii="Wingdings" w:hAnsi="Wingdings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"/>
      <w:numFmt w:val="bullet"/>
      <w:pPr>
        <w:pBdr/>
        <w:spacing/>
        <w:ind w:hanging="360" w:left="36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6">
    <w:lvl w:ilvl="0">
      <w:isLgl w:val="false"/>
      <w:lvlJc w:val="left"/>
      <w:lvlText w:val="%1"/>
      <w:numFmt w:val="ordinal"/>
      <w:pPr>
        <w:pBdr/>
        <w:spacing/>
        <w:ind w:hanging="360" w:left="360"/>
      </w:pPr>
      <w:rPr>
        <w:rFonts w:hint="default"/>
        <w:sz w:val="20"/>
        <w:szCs w:val="2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7">
    <w:lvl w:ilvl="0">
      <w:isLgl w:val="false"/>
      <w:lvlJc w:val="left"/>
      <w:lvlText w:val="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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  <w:sz w:val="20"/>
      </w:rPr>
      <w:start w:val="1"/>
      <w:suff w:val="tab"/>
    </w:lvl>
  </w:abstractNum>
  <w:abstractNum w:abstractNumId="11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→"/>
      <w:numFmt w:val="bullet"/>
      <w:pPr>
        <w:pBdr/>
        <w:spacing/>
        <w:ind w:hanging="360" w:left="360"/>
      </w:pPr>
      <w:rPr>
        <w:rFonts w:hint="default" w:ascii="Times New Roman" w:hAnsi="Times New Roman" w:cs="Times New Roman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  <w:sz w:val="20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lowerLetter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"/>
      <w:numFmt w:val="bullet"/>
      <w:pPr>
        <w:pBdr/>
        <w:spacing/>
        <w:ind w:hanging="360" w:left="360"/>
      </w:pPr>
      <w:rPr>
        <w:rFonts w:hint="default" w:ascii="Wingdings" w:hAnsi="Wingdings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"/>
      <w:numFmt w:val="bullet"/>
      <w:pPr>
        <w:pBdr/>
        <w:spacing/>
        <w:ind w:hanging="360" w:left="360"/>
      </w:pPr>
      <w:rPr>
        <w:rFonts w:ascii="Wingdings" w:hAnsi="Wingdings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180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52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396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468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12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  <w:num w:numId="15">
    <w:abstractNumId w:val="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0"/>
    <w:next w:val="870"/>
    <w:link w:val="69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2"/>
    <w:link w:val="69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2"/>
    <w:link w:val="87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  <w:pPr>
      <w:pBdr/>
      <w:spacing w:after="0" w:before="0" w:line="240" w:lineRule="auto"/>
      <w:ind/>
    </w:pPr>
  </w:style>
  <w:style w:type="paragraph" w:styleId="714">
    <w:name w:val="Title"/>
    <w:basedOn w:val="870"/>
    <w:next w:val="870"/>
    <w:link w:val="71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5">
    <w:name w:val="Title Char"/>
    <w:basedOn w:val="872"/>
    <w:link w:val="714"/>
    <w:uiPriority w:val="10"/>
    <w:pPr>
      <w:pBdr/>
      <w:spacing/>
      <w:ind/>
    </w:pPr>
    <w:rPr>
      <w:sz w:val="48"/>
      <w:szCs w:val="48"/>
    </w:rPr>
  </w:style>
  <w:style w:type="paragraph" w:styleId="716">
    <w:name w:val="Subtitle"/>
    <w:basedOn w:val="870"/>
    <w:next w:val="870"/>
    <w:link w:val="71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pPr>
      <w:pBdr/>
      <w:spacing/>
      <w:ind/>
    </w:pPr>
    <w:rPr>
      <w:sz w:val="24"/>
      <w:szCs w:val="24"/>
    </w:rPr>
  </w:style>
  <w:style w:type="paragraph" w:styleId="718">
    <w:name w:val="Quote"/>
    <w:basedOn w:val="870"/>
    <w:next w:val="870"/>
    <w:link w:val="719"/>
    <w:uiPriority w:val="29"/>
    <w:qFormat/>
    <w:pPr>
      <w:pBdr/>
      <w:spacing/>
      <w:ind w:right="720" w:left="720"/>
    </w:pPr>
    <w:rPr>
      <w:i/>
    </w:rPr>
  </w:style>
  <w:style w:type="character" w:styleId="719">
    <w:name w:val="Quote Char"/>
    <w:link w:val="718"/>
    <w:uiPriority w:val="29"/>
    <w:pPr>
      <w:pBdr/>
      <w:spacing/>
      <w:ind/>
    </w:pPr>
    <w:rPr>
      <w:i/>
    </w:rPr>
  </w:style>
  <w:style w:type="paragraph" w:styleId="720">
    <w:name w:val="Intense Quote"/>
    <w:basedOn w:val="870"/>
    <w:next w:val="870"/>
    <w:link w:val="7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1">
    <w:name w:val="Intense Quote Char"/>
    <w:link w:val="720"/>
    <w:uiPriority w:val="30"/>
    <w:pPr>
      <w:pBdr/>
      <w:spacing/>
      <w:ind/>
    </w:pPr>
    <w:rPr>
      <w:i/>
    </w:rPr>
  </w:style>
  <w:style w:type="paragraph" w:styleId="722">
    <w:name w:val="Header"/>
    <w:basedOn w:val="870"/>
    <w:link w:val="72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3">
    <w:name w:val="Header Char"/>
    <w:basedOn w:val="872"/>
    <w:link w:val="722"/>
    <w:uiPriority w:val="99"/>
    <w:pPr>
      <w:pBdr/>
      <w:spacing/>
      <w:ind/>
    </w:pPr>
  </w:style>
  <w:style w:type="paragraph" w:styleId="724">
    <w:name w:val="Footer"/>
    <w:basedOn w:val="870"/>
    <w:link w:val="72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5">
    <w:name w:val="Footer Char"/>
    <w:basedOn w:val="872"/>
    <w:link w:val="724"/>
    <w:uiPriority w:val="99"/>
    <w:pPr>
      <w:pBdr/>
      <w:spacing/>
      <w:ind/>
    </w:pPr>
  </w:style>
  <w:style w:type="paragraph" w:styleId="726">
    <w:name w:val="Caption"/>
    <w:basedOn w:val="870"/>
    <w:next w:val="87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  <w:pPr>
      <w:pBdr/>
      <w:spacing/>
      <w:ind/>
    </w:pPr>
  </w:style>
  <w:style w:type="table" w:styleId="728">
    <w:name w:val="Table Grid Light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1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2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3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4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5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6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1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2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3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4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5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6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1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2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3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4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5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6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4">
    <w:name w:val="Footnote Text Char"/>
    <w:link w:val="853"/>
    <w:uiPriority w:val="99"/>
    <w:pPr>
      <w:pBdr/>
      <w:spacing/>
      <w:ind/>
    </w:pPr>
    <w:rPr>
      <w:sz w:val="18"/>
    </w:rPr>
  </w:style>
  <w:style w:type="character" w:styleId="855">
    <w:name w:val="footnote reference"/>
    <w:basedOn w:val="872"/>
    <w:uiPriority w:val="99"/>
    <w:unhideWhenUsed/>
    <w:pPr>
      <w:pBdr/>
      <w:spacing/>
      <w:ind/>
    </w:pPr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7">
    <w:name w:val="Endnote Text Char"/>
    <w:link w:val="856"/>
    <w:uiPriority w:val="99"/>
    <w:pPr>
      <w:pBdr/>
      <w:spacing/>
      <w:ind/>
    </w:pPr>
    <w:rPr>
      <w:sz w:val="20"/>
    </w:rPr>
  </w:style>
  <w:style w:type="character" w:styleId="858">
    <w:name w:val="endnote reference"/>
    <w:basedOn w:val="872"/>
    <w:uiPriority w:val="99"/>
    <w:semiHidden/>
    <w:unhideWhenUsed/>
    <w:pPr>
      <w:pBdr/>
      <w:spacing/>
      <w:ind/>
    </w:pPr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pBdr/>
      <w:spacing w:after="57"/>
      <w:ind w:right="0" w:firstLine="0" w:left="0"/>
    </w:pPr>
  </w:style>
  <w:style w:type="paragraph" w:styleId="860">
    <w:name w:val="toc 2"/>
    <w:basedOn w:val="870"/>
    <w:next w:val="870"/>
    <w:uiPriority w:val="39"/>
    <w:unhideWhenUsed/>
    <w:pPr>
      <w:pBdr/>
      <w:spacing w:after="57"/>
      <w:ind w:right="0" w:firstLine="0" w:left="283"/>
    </w:pPr>
  </w:style>
  <w:style w:type="paragraph" w:styleId="861">
    <w:name w:val="toc 3"/>
    <w:basedOn w:val="870"/>
    <w:next w:val="870"/>
    <w:uiPriority w:val="39"/>
    <w:unhideWhenUsed/>
    <w:pPr>
      <w:pBdr/>
      <w:spacing w:after="57"/>
      <w:ind w:right="0" w:firstLine="0" w:left="567"/>
    </w:pPr>
  </w:style>
  <w:style w:type="paragraph" w:styleId="862">
    <w:name w:val="toc 4"/>
    <w:basedOn w:val="870"/>
    <w:next w:val="870"/>
    <w:uiPriority w:val="39"/>
    <w:unhideWhenUsed/>
    <w:pPr>
      <w:pBdr/>
      <w:spacing w:after="57"/>
      <w:ind w:right="0" w:firstLine="0" w:left="850"/>
    </w:pPr>
  </w:style>
  <w:style w:type="paragraph" w:styleId="863">
    <w:name w:val="toc 5"/>
    <w:basedOn w:val="870"/>
    <w:next w:val="870"/>
    <w:uiPriority w:val="39"/>
    <w:unhideWhenUsed/>
    <w:pPr>
      <w:pBdr/>
      <w:spacing w:after="57"/>
      <w:ind w:right="0" w:firstLine="0" w:left="1134"/>
    </w:pPr>
  </w:style>
  <w:style w:type="paragraph" w:styleId="864">
    <w:name w:val="toc 6"/>
    <w:basedOn w:val="870"/>
    <w:next w:val="870"/>
    <w:uiPriority w:val="39"/>
    <w:unhideWhenUsed/>
    <w:pPr>
      <w:pBdr/>
      <w:spacing w:after="57"/>
      <w:ind w:right="0" w:firstLine="0" w:left="1417"/>
    </w:pPr>
  </w:style>
  <w:style w:type="paragraph" w:styleId="865">
    <w:name w:val="toc 7"/>
    <w:basedOn w:val="870"/>
    <w:next w:val="870"/>
    <w:uiPriority w:val="39"/>
    <w:unhideWhenUsed/>
    <w:pPr>
      <w:pBdr/>
      <w:spacing w:after="57"/>
      <w:ind w:right="0" w:firstLine="0" w:left="1701"/>
    </w:pPr>
  </w:style>
  <w:style w:type="paragraph" w:styleId="866">
    <w:name w:val="toc 8"/>
    <w:basedOn w:val="870"/>
    <w:next w:val="870"/>
    <w:uiPriority w:val="39"/>
    <w:unhideWhenUsed/>
    <w:pPr>
      <w:pBdr/>
      <w:spacing w:after="57"/>
      <w:ind w:right="0" w:firstLine="0" w:left="1984"/>
    </w:pPr>
  </w:style>
  <w:style w:type="paragraph" w:styleId="867">
    <w:name w:val="toc 9"/>
    <w:basedOn w:val="870"/>
    <w:next w:val="870"/>
    <w:uiPriority w:val="39"/>
    <w:unhideWhenUsed/>
    <w:pPr>
      <w:pBdr/>
      <w:spacing w:after="57"/>
      <w:ind w:right="0" w:firstLine="0" w:left="2268"/>
    </w:pPr>
  </w:style>
  <w:style w:type="paragraph" w:styleId="868">
    <w:name w:val="TOC Heading"/>
    <w:uiPriority w:val="39"/>
    <w:unhideWhenUsed/>
    <w:pPr>
      <w:pBdr/>
      <w:spacing/>
      <w:ind/>
    </w:pPr>
  </w:style>
  <w:style w:type="paragraph" w:styleId="869">
    <w:name w:val="table of figures"/>
    <w:basedOn w:val="870"/>
    <w:next w:val="870"/>
    <w:uiPriority w:val="99"/>
    <w:unhideWhenUsed/>
    <w:pPr>
      <w:pBdr/>
      <w:spacing w:after="0" w:afterAutospacing="0"/>
      <w:ind/>
    </w:pPr>
  </w:style>
  <w:style w:type="paragraph" w:styleId="870" w:default="1">
    <w:name w:val="Normal"/>
    <w:qFormat/>
    <w:pPr>
      <w:pBdr/>
      <w:spacing/>
      <w:ind/>
    </w:pPr>
  </w:style>
  <w:style w:type="paragraph" w:styleId="871">
    <w:name w:val="Heading 2"/>
    <w:basedOn w:val="870"/>
    <w:link w:val="875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872" w:default="1">
    <w:name w:val="Default Paragraph Font"/>
    <w:uiPriority w:val="1"/>
    <w:semiHidden/>
    <w:unhideWhenUsed/>
    <w:pPr>
      <w:pBdr/>
      <w:spacing/>
      <w:ind/>
    </w:pPr>
  </w:style>
  <w:style w:type="table" w:styleId="8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4" w:default="1">
    <w:name w:val="No List"/>
    <w:uiPriority w:val="99"/>
    <w:semiHidden/>
    <w:unhideWhenUsed/>
    <w:pPr>
      <w:pBdr/>
      <w:spacing/>
      <w:ind/>
    </w:pPr>
  </w:style>
  <w:style w:type="character" w:styleId="875" w:customStyle="1">
    <w:name w:val="Nagłówek 2 Znak"/>
    <w:basedOn w:val="872"/>
    <w:link w:val="871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876">
    <w:name w:val="Hyperlink"/>
    <w:basedOn w:val="872"/>
    <w:uiPriority w:val="99"/>
    <w:unhideWhenUsed/>
    <w:pPr>
      <w:pBdr/>
      <w:spacing/>
      <w:ind/>
    </w:pPr>
    <w:rPr>
      <w:color w:val="0000ff"/>
      <w:u w:val="single"/>
    </w:rPr>
  </w:style>
  <w:style w:type="paragraph" w:styleId="877">
    <w:name w:val="Normal (Web)"/>
    <w:basedOn w:val="870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878">
    <w:name w:val="Strong"/>
    <w:basedOn w:val="872"/>
    <w:uiPriority w:val="22"/>
    <w:qFormat/>
    <w:pPr>
      <w:pBdr/>
      <w:spacing/>
      <w:ind/>
    </w:pPr>
    <w:rPr>
      <w:b/>
      <w:bCs/>
    </w:rPr>
  </w:style>
  <w:style w:type="paragraph" w:styleId="879">
    <w:name w:val="Balloon Text"/>
    <w:basedOn w:val="870"/>
    <w:link w:val="880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80" w:customStyle="1">
    <w:name w:val="Tekst dymka Znak"/>
    <w:basedOn w:val="872"/>
    <w:link w:val="87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1">
    <w:name w:val="Table Grid"/>
    <w:basedOn w:val="87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2">
    <w:name w:val="List Paragraph"/>
    <w:basedOn w:val="870"/>
    <w:uiPriority w:val="34"/>
    <w:qFormat/>
    <w:pPr>
      <w:pBdr/>
      <w:spacing/>
      <w:ind w:left="720"/>
      <w:contextualSpacing w:val="true"/>
    </w:pPr>
  </w:style>
  <w:style w:type="character" w:styleId="883">
    <w:name w:val="FollowedHyperlink"/>
    <w:basedOn w:val="872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forms.gle/RiaqdbziUb5w19mGA" TargetMode="External"/><Relationship Id="rId11" Type="http://schemas.openxmlformats.org/officeDocument/2006/relationships/hyperlink" Target="http://www.odn-grudziadz.ehost.p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revision>41</cp:revision>
  <dcterms:created xsi:type="dcterms:W3CDTF">2019-08-26T08:48:00Z</dcterms:created>
  <dcterms:modified xsi:type="dcterms:W3CDTF">2025-02-19T08:42:30Z</dcterms:modified>
</cp:coreProperties>
</file>